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2446FF">
        <w:tblPrEx>
          <w:tblCellMar>
            <w:top w:w="0" w:type="dxa"/>
            <w:bottom w:w="0" w:type="dxa"/>
          </w:tblCellMar>
        </w:tblPrEx>
        <w:trPr>
          <w:tblCellSpacing w:w="60" w:type="dxa"/>
        </w:trPr>
        <w:tc>
          <w:tcPr>
            <w:tcW w:w="1200" w:type="pct"/>
            <w:shd w:val="clear" w:color="auto" w:fill="E7F0F9"/>
          </w:tcPr>
          <w:p w:rsidR="002446FF" w:rsidRDefault="00000000">
            <w:pPr>
              <w:spacing w:after="0" w:line="240" w:lineRule="auto"/>
            </w:pPr>
            <w:r>
              <w:rPr>
                <w:b/>
              </w:rPr>
              <w:t>RKP broj</w:t>
            </w:r>
          </w:p>
        </w:tc>
        <w:tc>
          <w:tcPr>
            <w:tcW w:w="0" w:type="auto"/>
            <w:shd w:val="clear" w:color="auto" w:fill="E7F0F9"/>
          </w:tcPr>
          <w:p w:rsidR="002446FF" w:rsidRDefault="00000000">
            <w:pPr>
              <w:spacing w:after="0" w:line="240" w:lineRule="auto"/>
            </w:pPr>
            <w:r>
              <w:t>33626</w:t>
            </w:r>
          </w:p>
        </w:tc>
      </w:tr>
      <w:tr w:rsidR="002446FF">
        <w:tblPrEx>
          <w:tblCellMar>
            <w:top w:w="0" w:type="dxa"/>
            <w:bottom w:w="0" w:type="dxa"/>
          </w:tblCellMar>
        </w:tblPrEx>
        <w:trPr>
          <w:tblCellSpacing w:w="60" w:type="dxa"/>
        </w:trPr>
        <w:tc>
          <w:tcPr>
            <w:tcW w:w="1200" w:type="pct"/>
            <w:shd w:val="clear" w:color="auto" w:fill="E7F0F9"/>
          </w:tcPr>
          <w:p w:rsidR="002446FF" w:rsidRDefault="00000000">
            <w:pPr>
              <w:spacing w:after="0" w:line="240" w:lineRule="auto"/>
            </w:pPr>
            <w:r>
              <w:rPr>
                <w:b/>
              </w:rPr>
              <w:t>Naziv obveznika</w:t>
            </w:r>
          </w:p>
        </w:tc>
        <w:tc>
          <w:tcPr>
            <w:tcW w:w="0" w:type="auto"/>
            <w:shd w:val="clear" w:color="auto" w:fill="E7F0F9"/>
          </w:tcPr>
          <w:p w:rsidR="002446FF" w:rsidRDefault="00000000">
            <w:pPr>
              <w:spacing w:after="0" w:line="240" w:lineRule="auto"/>
            </w:pPr>
            <w:r>
              <w:t>OSJEČKO-BARANJSKA ŽUPANIJA</w:t>
            </w:r>
          </w:p>
        </w:tc>
      </w:tr>
      <w:tr w:rsidR="002446FF">
        <w:tblPrEx>
          <w:tblCellMar>
            <w:top w:w="0" w:type="dxa"/>
            <w:bottom w:w="0" w:type="dxa"/>
          </w:tblCellMar>
        </w:tblPrEx>
        <w:trPr>
          <w:tblCellSpacing w:w="60" w:type="dxa"/>
        </w:trPr>
        <w:tc>
          <w:tcPr>
            <w:tcW w:w="1200" w:type="pct"/>
            <w:shd w:val="clear" w:color="auto" w:fill="E7F0F9"/>
          </w:tcPr>
          <w:p w:rsidR="002446FF" w:rsidRDefault="00000000">
            <w:pPr>
              <w:spacing w:after="0" w:line="240" w:lineRule="auto"/>
            </w:pPr>
            <w:r>
              <w:rPr>
                <w:b/>
              </w:rPr>
              <w:t>Razina</w:t>
            </w:r>
          </w:p>
        </w:tc>
        <w:tc>
          <w:tcPr>
            <w:tcW w:w="0" w:type="auto"/>
            <w:shd w:val="clear" w:color="auto" w:fill="E7F0F9"/>
          </w:tcPr>
          <w:p w:rsidR="002446FF" w:rsidRDefault="00000000">
            <w:pPr>
              <w:spacing w:after="0" w:line="240" w:lineRule="auto"/>
            </w:pPr>
            <w:r>
              <w:t>22</w:t>
            </w:r>
          </w:p>
        </w:tc>
      </w:tr>
    </w:tbl>
    <w:p w:rsidR="002446FF" w:rsidRDefault="00000000">
      <w:r>
        <w:br/>
      </w:r>
    </w:p>
    <w:p w:rsidR="002446FF" w:rsidRDefault="00000000">
      <w:pPr>
        <w:spacing w:line="240" w:lineRule="auto"/>
        <w:jc w:val="center"/>
      </w:pPr>
      <w:r>
        <w:rPr>
          <w:b/>
          <w:sz w:val="28"/>
        </w:rPr>
        <w:t>BILJEŠKE UZ FINANCIJSKE IZVJEŠTAJE</w:t>
      </w:r>
    </w:p>
    <w:p w:rsidR="002446FF" w:rsidRDefault="00000000">
      <w:pPr>
        <w:spacing w:line="240" w:lineRule="auto"/>
        <w:jc w:val="center"/>
      </w:pPr>
      <w:r>
        <w:rPr>
          <w:b/>
          <w:sz w:val="28"/>
        </w:rPr>
        <w:t>ZA RAZDOBLJE</w:t>
      </w:r>
    </w:p>
    <w:p w:rsidR="002446FF" w:rsidRDefault="00000000">
      <w:pPr>
        <w:spacing w:line="240" w:lineRule="auto"/>
        <w:jc w:val="center"/>
      </w:pPr>
      <w:r>
        <w:rPr>
          <w:b/>
          <w:sz w:val="28"/>
        </w:rPr>
        <w:t>I - XII 2025.</w:t>
      </w:r>
    </w:p>
    <w:p w:rsidR="002446FF" w:rsidRDefault="002446FF"/>
    <w:p w:rsidR="002446FF" w:rsidRDefault="00000000">
      <w:pPr>
        <w:keepNext/>
        <w:spacing w:line="240" w:lineRule="auto"/>
        <w:jc w:val="center"/>
      </w:pPr>
      <w:r>
        <w:rPr>
          <w:b/>
          <w:sz w:val="28"/>
        </w:rPr>
        <w:t>Izvještaj o prihodima i rashodima, primicima i izdacima</w:t>
      </w:r>
    </w:p>
    <w:p w:rsidR="002446FF"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w:t>
            </w:r>
          </w:p>
        </w:tc>
        <w:tc>
          <w:tcPr>
            <w:tcW w:w="3180" w:type="dxa"/>
            <w:tcMar>
              <w:top w:w="0" w:type="dxa"/>
              <w:bottom w:w="0" w:type="dxa"/>
            </w:tcMar>
            <w:vAlign w:val="center"/>
          </w:tcPr>
          <w:p w:rsidR="002446FF"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rsidR="002446FF" w:rsidRDefault="00000000">
            <w:pPr>
              <w:keepNext/>
              <w:keepLines/>
              <w:spacing w:after="0" w:line="240" w:lineRule="auto"/>
            </w:pPr>
            <w:r>
              <w:rPr>
                <w:sz w:val="18"/>
              </w:rPr>
              <w:t>6</w:t>
            </w:r>
          </w:p>
        </w:tc>
        <w:tc>
          <w:tcPr>
            <w:tcW w:w="1860" w:type="dxa"/>
            <w:tcMar>
              <w:top w:w="0" w:type="dxa"/>
              <w:bottom w:w="0" w:type="dxa"/>
            </w:tcMar>
            <w:vAlign w:val="center"/>
          </w:tcPr>
          <w:p w:rsidR="002446FF" w:rsidRDefault="00000000">
            <w:pPr>
              <w:keepNext/>
              <w:keepLines/>
              <w:spacing w:after="0" w:line="240" w:lineRule="auto"/>
              <w:jc w:val="right"/>
            </w:pPr>
            <w:r>
              <w:rPr>
                <w:sz w:val="18"/>
              </w:rPr>
              <w:t>78.176.802,51</w:t>
            </w:r>
          </w:p>
        </w:tc>
        <w:tc>
          <w:tcPr>
            <w:tcW w:w="1860" w:type="dxa"/>
            <w:tcMar>
              <w:top w:w="0" w:type="dxa"/>
              <w:bottom w:w="0" w:type="dxa"/>
            </w:tcMar>
            <w:vAlign w:val="center"/>
          </w:tcPr>
          <w:p w:rsidR="002446FF" w:rsidRDefault="00000000">
            <w:pPr>
              <w:keepNext/>
              <w:keepLines/>
              <w:spacing w:after="0" w:line="240" w:lineRule="auto"/>
              <w:jc w:val="right"/>
            </w:pPr>
            <w:r>
              <w:rPr>
                <w:sz w:val="18"/>
              </w:rPr>
              <w:t>79.585.840,22</w:t>
            </w:r>
          </w:p>
        </w:tc>
        <w:tc>
          <w:tcPr>
            <w:tcW w:w="700" w:type="dxa"/>
            <w:tcMar>
              <w:top w:w="0" w:type="dxa"/>
              <w:bottom w:w="0" w:type="dxa"/>
            </w:tcMar>
            <w:vAlign w:val="center"/>
          </w:tcPr>
          <w:p w:rsidR="002446FF" w:rsidRDefault="00000000">
            <w:pPr>
              <w:keepNext/>
              <w:keepLines/>
              <w:spacing w:after="0" w:line="240" w:lineRule="auto"/>
              <w:jc w:val="right"/>
            </w:pPr>
            <w:r>
              <w:rPr>
                <w:sz w:val="18"/>
              </w:rPr>
              <w:t>101,8</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w:t>
            </w:r>
          </w:p>
        </w:tc>
        <w:tc>
          <w:tcPr>
            <w:tcW w:w="3180" w:type="dxa"/>
            <w:tcMar>
              <w:top w:w="0" w:type="dxa"/>
              <w:bottom w:w="0" w:type="dxa"/>
            </w:tcMar>
            <w:vAlign w:val="center"/>
          </w:tcPr>
          <w:p w:rsidR="002446FF"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rsidR="002446FF" w:rsidRDefault="00000000">
            <w:pPr>
              <w:keepNext/>
              <w:keepLines/>
              <w:spacing w:after="0" w:line="240" w:lineRule="auto"/>
            </w:pPr>
            <w:r>
              <w:rPr>
                <w:sz w:val="18"/>
              </w:rPr>
              <w:t>3</w:t>
            </w:r>
          </w:p>
        </w:tc>
        <w:tc>
          <w:tcPr>
            <w:tcW w:w="1860" w:type="dxa"/>
            <w:tcMar>
              <w:top w:w="0" w:type="dxa"/>
              <w:bottom w:w="0" w:type="dxa"/>
            </w:tcMar>
            <w:vAlign w:val="center"/>
          </w:tcPr>
          <w:p w:rsidR="002446FF" w:rsidRDefault="00000000">
            <w:pPr>
              <w:keepNext/>
              <w:keepLines/>
              <w:spacing w:after="0" w:line="240" w:lineRule="auto"/>
              <w:jc w:val="right"/>
            </w:pPr>
            <w:r>
              <w:rPr>
                <w:sz w:val="18"/>
              </w:rPr>
              <w:t>57.084.563,07</w:t>
            </w:r>
          </w:p>
        </w:tc>
        <w:tc>
          <w:tcPr>
            <w:tcW w:w="1860" w:type="dxa"/>
            <w:tcMar>
              <w:top w:w="0" w:type="dxa"/>
              <w:bottom w:w="0" w:type="dxa"/>
            </w:tcMar>
            <w:vAlign w:val="center"/>
          </w:tcPr>
          <w:p w:rsidR="002446FF" w:rsidRDefault="00000000">
            <w:pPr>
              <w:keepNext/>
              <w:keepLines/>
              <w:spacing w:after="0" w:line="240" w:lineRule="auto"/>
              <w:jc w:val="right"/>
            </w:pPr>
            <w:r>
              <w:rPr>
                <w:sz w:val="18"/>
              </w:rPr>
              <w:t>63.098.622,70</w:t>
            </w:r>
          </w:p>
        </w:tc>
        <w:tc>
          <w:tcPr>
            <w:tcW w:w="700" w:type="dxa"/>
            <w:tcMar>
              <w:top w:w="0" w:type="dxa"/>
              <w:bottom w:w="0" w:type="dxa"/>
            </w:tcMar>
            <w:vAlign w:val="center"/>
          </w:tcPr>
          <w:p w:rsidR="002446FF" w:rsidRDefault="00000000">
            <w:pPr>
              <w:keepNext/>
              <w:keepLines/>
              <w:spacing w:after="0" w:line="240" w:lineRule="auto"/>
              <w:jc w:val="right"/>
            </w:pPr>
            <w:r>
              <w:rPr>
                <w:sz w:val="18"/>
              </w:rPr>
              <w:t>110,5</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rsidR="002446FF" w:rsidRDefault="00000000">
            <w:pPr>
              <w:keepNext/>
              <w:keepLines/>
              <w:spacing w:after="0" w:line="240" w:lineRule="auto"/>
            </w:pPr>
            <w:r>
              <w:rPr>
                <w:b/>
                <w:sz w:val="18"/>
              </w:rPr>
              <w:t>X001</w:t>
            </w:r>
          </w:p>
        </w:tc>
        <w:tc>
          <w:tcPr>
            <w:tcW w:w="1860" w:type="dxa"/>
            <w:tcMar>
              <w:top w:w="0" w:type="dxa"/>
              <w:bottom w:w="0" w:type="dxa"/>
            </w:tcMar>
            <w:vAlign w:val="center"/>
          </w:tcPr>
          <w:p w:rsidR="002446FF" w:rsidRDefault="00000000">
            <w:pPr>
              <w:keepNext/>
              <w:keepLines/>
              <w:spacing w:after="0" w:line="240" w:lineRule="auto"/>
              <w:jc w:val="right"/>
            </w:pPr>
            <w:r>
              <w:rPr>
                <w:b/>
                <w:sz w:val="18"/>
              </w:rPr>
              <w:t>21.092.239,44</w:t>
            </w:r>
          </w:p>
        </w:tc>
        <w:tc>
          <w:tcPr>
            <w:tcW w:w="1860" w:type="dxa"/>
            <w:tcMar>
              <w:top w:w="0" w:type="dxa"/>
              <w:bottom w:w="0" w:type="dxa"/>
            </w:tcMar>
            <w:vAlign w:val="center"/>
          </w:tcPr>
          <w:p w:rsidR="002446FF" w:rsidRDefault="00000000">
            <w:pPr>
              <w:keepNext/>
              <w:keepLines/>
              <w:spacing w:after="0" w:line="240" w:lineRule="auto"/>
              <w:jc w:val="right"/>
            </w:pPr>
            <w:r>
              <w:rPr>
                <w:b/>
                <w:sz w:val="18"/>
              </w:rPr>
              <w:t>16.487.217,52</w:t>
            </w:r>
          </w:p>
        </w:tc>
        <w:tc>
          <w:tcPr>
            <w:tcW w:w="700" w:type="dxa"/>
            <w:tcMar>
              <w:top w:w="0" w:type="dxa"/>
              <w:bottom w:w="0" w:type="dxa"/>
            </w:tcMar>
            <w:vAlign w:val="center"/>
          </w:tcPr>
          <w:p w:rsidR="002446FF" w:rsidRDefault="00000000">
            <w:pPr>
              <w:keepNext/>
              <w:keepLines/>
              <w:spacing w:after="0" w:line="240" w:lineRule="auto"/>
              <w:jc w:val="right"/>
            </w:pPr>
            <w:r>
              <w:rPr>
                <w:b/>
                <w:sz w:val="18"/>
              </w:rPr>
              <w:t>78,2</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7</w:t>
            </w:r>
          </w:p>
        </w:tc>
        <w:tc>
          <w:tcPr>
            <w:tcW w:w="3180" w:type="dxa"/>
            <w:tcMar>
              <w:top w:w="0" w:type="dxa"/>
              <w:bottom w:w="0" w:type="dxa"/>
            </w:tcMar>
            <w:vAlign w:val="center"/>
          </w:tcPr>
          <w:p w:rsidR="002446FF"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rsidR="002446FF" w:rsidRDefault="00000000">
            <w:pPr>
              <w:keepNext/>
              <w:keepLines/>
              <w:spacing w:after="0" w:line="240" w:lineRule="auto"/>
            </w:pPr>
            <w:r>
              <w:rPr>
                <w:sz w:val="18"/>
              </w:rPr>
              <w:t>7</w:t>
            </w:r>
          </w:p>
        </w:tc>
        <w:tc>
          <w:tcPr>
            <w:tcW w:w="1860" w:type="dxa"/>
            <w:tcMar>
              <w:top w:w="0" w:type="dxa"/>
              <w:bottom w:w="0" w:type="dxa"/>
            </w:tcMar>
            <w:vAlign w:val="center"/>
          </w:tcPr>
          <w:p w:rsidR="002446FF" w:rsidRDefault="00000000">
            <w:pPr>
              <w:keepNext/>
              <w:keepLines/>
              <w:spacing w:after="0" w:line="240" w:lineRule="auto"/>
              <w:jc w:val="right"/>
            </w:pPr>
            <w:r>
              <w:rPr>
                <w:sz w:val="18"/>
              </w:rPr>
              <w:t>255.013,06</w:t>
            </w:r>
          </w:p>
        </w:tc>
        <w:tc>
          <w:tcPr>
            <w:tcW w:w="1860" w:type="dxa"/>
            <w:tcMar>
              <w:top w:w="0" w:type="dxa"/>
              <w:bottom w:w="0" w:type="dxa"/>
            </w:tcMar>
            <w:vAlign w:val="center"/>
          </w:tcPr>
          <w:p w:rsidR="002446FF" w:rsidRDefault="00000000">
            <w:pPr>
              <w:keepNext/>
              <w:keepLines/>
              <w:spacing w:after="0" w:line="240" w:lineRule="auto"/>
              <w:jc w:val="right"/>
            </w:pPr>
            <w:r>
              <w:rPr>
                <w:sz w:val="18"/>
              </w:rPr>
              <w:t>471.418,15</w:t>
            </w:r>
          </w:p>
        </w:tc>
        <w:tc>
          <w:tcPr>
            <w:tcW w:w="700" w:type="dxa"/>
            <w:tcMar>
              <w:top w:w="0" w:type="dxa"/>
              <w:bottom w:w="0" w:type="dxa"/>
            </w:tcMar>
            <w:vAlign w:val="center"/>
          </w:tcPr>
          <w:p w:rsidR="002446FF" w:rsidRDefault="00000000">
            <w:pPr>
              <w:keepNext/>
              <w:keepLines/>
              <w:spacing w:after="0" w:line="240" w:lineRule="auto"/>
              <w:jc w:val="right"/>
            </w:pPr>
            <w:r>
              <w:rPr>
                <w:sz w:val="18"/>
              </w:rPr>
              <w:t>184,9</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w:t>
            </w:r>
          </w:p>
        </w:tc>
        <w:tc>
          <w:tcPr>
            <w:tcW w:w="3180" w:type="dxa"/>
            <w:tcMar>
              <w:top w:w="0" w:type="dxa"/>
              <w:bottom w:w="0" w:type="dxa"/>
            </w:tcMar>
            <w:vAlign w:val="center"/>
          </w:tcPr>
          <w:p w:rsidR="002446FF"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rsidR="002446FF" w:rsidRDefault="00000000">
            <w:pPr>
              <w:keepNext/>
              <w:keepLines/>
              <w:spacing w:after="0" w:line="240" w:lineRule="auto"/>
            </w:pPr>
            <w:r>
              <w:rPr>
                <w:sz w:val="18"/>
              </w:rPr>
              <w:t>4</w:t>
            </w:r>
          </w:p>
        </w:tc>
        <w:tc>
          <w:tcPr>
            <w:tcW w:w="1860" w:type="dxa"/>
            <w:tcMar>
              <w:top w:w="0" w:type="dxa"/>
              <w:bottom w:w="0" w:type="dxa"/>
            </w:tcMar>
            <w:vAlign w:val="center"/>
          </w:tcPr>
          <w:p w:rsidR="002446FF" w:rsidRDefault="00000000">
            <w:pPr>
              <w:keepNext/>
              <w:keepLines/>
              <w:spacing w:after="0" w:line="240" w:lineRule="auto"/>
              <w:jc w:val="right"/>
            </w:pPr>
            <w:r>
              <w:rPr>
                <w:sz w:val="18"/>
              </w:rPr>
              <w:t>13.921.669,85</w:t>
            </w:r>
          </w:p>
        </w:tc>
        <w:tc>
          <w:tcPr>
            <w:tcW w:w="1860" w:type="dxa"/>
            <w:tcMar>
              <w:top w:w="0" w:type="dxa"/>
              <w:bottom w:w="0" w:type="dxa"/>
            </w:tcMar>
            <w:vAlign w:val="center"/>
          </w:tcPr>
          <w:p w:rsidR="002446FF" w:rsidRDefault="00000000">
            <w:pPr>
              <w:keepNext/>
              <w:keepLines/>
              <w:spacing w:after="0" w:line="240" w:lineRule="auto"/>
              <w:jc w:val="right"/>
            </w:pPr>
            <w:r>
              <w:rPr>
                <w:sz w:val="18"/>
              </w:rPr>
              <w:t>8.799.724,27</w:t>
            </w:r>
          </w:p>
        </w:tc>
        <w:tc>
          <w:tcPr>
            <w:tcW w:w="700" w:type="dxa"/>
            <w:tcMar>
              <w:top w:w="0" w:type="dxa"/>
              <w:bottom w:w="0" w:type="dxa"/>
            </w:tcMar>
            <w:vAlign w:val="center"/>
          </w:tcPr>
          <w:p w:rsidR="002446FF" w:rsidRDefault="00000000">
            <w:pPr>
              <w:keepNext/>
              <w:keepLines/>
              <w:spacing w:after="0" w:line="240" w:lineRule="auto"/>
              <w:jc w:val="right"/>
            </w:pPr>
            <w:r>
              <w:rPr>
                <w:sz w:val="18"/>
              </w:rPr>
              <w:t>63,2</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rsidR="002446FF" w:rsidRDefault="00000000">
            <w:pPr>
              <w:keepNext/>
              <w:keepLines/>
              <w:spacing w:after="0" w:line="240" w:lineRule="auto"/>
            </w:pPr>
            <w:r>
              <w:rPr>
                <w:b/>
                <w:sz w:val="18"/>
              </w:rPr>
              <w:t>Y002</w:t>
            </w:r>
          </w:p>
        </w:tc>
        <w:tc>
          <w:tcPr>
            <w:tcW w:w="1860" w:type="dxa"/>
            <w:tcMar>
              <w:top w:w="0" w:type="dxa"/>
              <w:bottom w:w="0" w:type="dxa"/>
            </w:tcMar>
            <w:vAlign w:val="center"/>
          </w:tcPr>
          <w:p w:rsidR="002446FF" w:rsidRDefault="00000000">
            <w:pPr>
              <w:keepNext/>
              <w:keepLines/>
              <w:spacing w:after="0" w:line="240" w:lineRule="auto"/>
              <w:jc w:val="right"/>
            </w:pPr>
            <w:r>
              <w:rPr>
                <w:b/>
                <w:sz w:val="18"/>
              </w:rPr>
              <w:t>13.666.656,79</w:t>
            </w:r>
          </w:p>
        </w:tc>
        <w:tc>
          <w:tcPr>
            <w:tcW w:w="1860" w:type="dxa"/>
            <w:tcMar>
              <w:top w:w="0" w:type="dxa"/>
              <w:bottom w:w="0" w:type="dxa"/>
            </w:tcMar>
            <w:vAlign w:val="center"/>
          </w:tcPr>
          <w:p w:rsidR="002446FF" w:rsidRDefault="00000000">
            <w:pPr>
              <w:keepNext/>
              <w:keepLines/>
              <w:spacing w:after="0" w:line="240" w:lineRule="auto"/>
              <w:jc w:val="right"/>
            </w:pPr>
            <w:r>
              <w:rPr>
                <w:b/>
                <w:sz w:val="18"/>
              </w:rPr>
              <w:t>8.328.306,12</w:t>
            </w:r>
          </w:p>
        </w:tc>
        <w:tc>
          <w:tcPr>
            <w:tcW w:w="700" w:type="dxa"/>
            <w:tcMar>
              <w:top w:w="0" w:type="dxa"/>
              <w:bottom w:w="0" w:type="dxa"/>
            </w:tcMar>
            <w:vAlign w:val="center"/>
          </w:tcPr>
          <w:p w:rsidR="002446FF" w:rsidRDefault="00000000">
            <w:pPr>
              <w:keepNext/>
              <w:keepLines/>
              <w:spacing w:after="0" w:line="240" w:lineRule="auto"/>
              <w:jc w:val="right"/>
            </w:pPr>
            <w:r>
              <w:rPr>
                <w:b/>
                <w:sz w:val="18"/>
              </w:rPr>
              <w:t>60,9</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8</w:t>
            </w:r>
          </w:p>
        </w:tc>
        <w:tc>
          <w:tcPr>
            <w:tcW w:w="3180" w:type="dxa"/>
            <w:tcMar>
              <w:top w:w="0" w:type="dxa"/>
              <w:bottom w:w="0" w:type="dxa"/>
            </w:tcMar>
            <w:vAlign w:val="center"/>
          </w:tcPr>
          <w:p w:rsidR="002446FF"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rsidR="002446FF" w:rsidRDefault="00000000">
            <w:pPr>
              <w:keepNext/>
              <w:keepLines/>
              <w:spacing w:after="0" w:line="240" w:lineRule="auto"/>
            </w:pPr>
            <w:r>
              <w:rPr>
                <w:sz w:val="18"/>
              </w:rPr>
              <w:t>8</w:t>
            </w:r>
          </w:p>
        </w:tc>
        <w:tc>
          <w:tcPr>
            <w:tcW w:w="1860" w:type="dxa"/>
            <w:tcMar>
              <w:top w:w="0" w:type="dxa"/>
              <w:bottom w:w="0" w:type="dxa"/>
            </w:tcMar>
            <w:vAlign w:val="center"/>
          </w:tcPr>
          <w:p w:rsidR="002446FF" w:rsidRDefault="00000000">
            <w:pPr>
              <w:keepNext/>
              <w:keepLines/>
              <w:spacing w:after="0" w:line="240" w:lineRule="auto"/>
              <w:jc w:val="right"/>
            </w:pPr>
            <w:r>
              <w:rPr>
                <w:sz w:val="18"/>
              </w:rPr>
              <w:t>36.321,59</w:t>
            </w:r>
          </w:p>
        </w:tc>
        <w:tc>
          <w:tcPr>
            <w:tcW w:w="1860" w:type="dxa"/>
            <w:tcMar>
              <w:top w:w="0" w:type="dxa"/>
              <w:bottom w:w="0" w:type="dxa"/>
            </w:tcMar>
            <w:vAlign w:val="center"/>
          </w:tcPr>
          <w:p w:rsidR="002446FF" w:rsidRDefault="00000000">
            <w:pPr>
              <w:keepNext/>
              <w:keepLines/>
              <w:spacing w:after="0" w:line="240" w:lineRule="auto"/>
              <w:jc w:val="right"/>
            </w:pPr>
            <w:r>
              <w:rPr>
                <w:sz w:val="18"/>
              </w:rPr>
              <w:t>14.580,56</w:t>
            </w:r>
          </w:p>
        </w:tc>
        <w:tc>
          <w:tcPr>
            <w:tcW w:w="700" w:type="dxa"/>
            <w:tcMar>
              <w:top w:w="0" w:type="dxa"/>
              <w:bottom w:w="0" w:type="dxa"/>
            </w:tcMar>
            <w:vAlign w:val="center"/>
          </w:tcPr>
          <w:p w:rsidR="002446FF" w:rsidRDefault="00000000">
            <w:pPr>
              <w:keepNext/>
              <w:keepLines/>
              <w:spacing w:after="0" w:line="240" w:lineRule="auto"/>
              <w:jc w:val="right"/>
            </w:pPr>
            <w:r>
              <w:rPr>
                <w:sz w:val="18"/>
              </w:rPr>
              <w:t>40,1</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5</w:t>
            </w:r>
          </w:p>
        </w:tc>
        <w:tc>
          <w:tcPr>
            <w:tcW w:w="3180" w:type="dxa"/>
            <w:tcMar>
              <w:top w:w="0" w:type="dxa"/>
              <w:bottom w:w="0" w:type="dxa"/>
            </w:tcMar>
            <w:vAlign w:val="center"/>
          </w:tcPr>
          <w:p w:rsidR="002446FF"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rsidR="002446FF" w:rsidRDefault="00000000">
            <w:pPr>
              <w:keepNext/>
              <w:keepLines/>
              <w:spacing w:after="0" w:line="240" w:lineRule="auto"/>
            </w:pPr>
            <w:r>
              <w:rPr>
                <w:sz w:val="18"/>
              </w:rPr>
              <w:t>5</w:t>
            </w:r>
          </w:p>
        </w:tc>
        <w:tc>
          <w:tcPr>
            <w:tcW w:w="1860" w:type="dxa"/>
            <w:tcMar>
              <w:top w:w="0" w:type="dxa"/>
              <w:bottom w:w="0" w:type="dxa"/>
            </w:tcMar>
            <w:vAlign w:val="center"/>
          </w:tcPr>
          <w:p w:rsidR="002446FF" w:rsidRDefault="00000000">
            <w:pPr>
              <w:keepNext/>
              <w:keepLines/>
              <w:spacing w:after="0" w:line="240" w:lineRule="auto"/>
              <w:jc w:val="right"/>
            </w:pPr>
            <w:r>
              <w:rPr>
                <w:sz w:val="18"/>
              </w:rPr>
              <w:t>1.839.669,08</w:t>
            </w:r>
          </w:p>
        </w:tc>
        <w:tc>
          <w:tcPr>
            <w:tcW w:w="1860" w:type="dxa"/>
            <w:tcMar>
              <w:top w:w="0" w:type="dxa"/>
              <w:bottom w:w="0" w:type="dxa"/>
            </w:tcMar>
            <w:vAlign w:val="center"/>
          </w:tcPr>
          <w:p w:rsidR="002446FF" w:rsidRDefault="00000000">
            <w:pPr>
              <w:keepNext/>
              <w:keepLines/>
              <w:spacing w:after="0" w:line="240" w:lineRule="auto"/>
              <w:jc w:val="right"/>
            </w:pPr>
            <w:r>
              <w:rPr>
                <w:sz w:val="18"/>
              </w:rPr>
              <w:t>1.974.295,19</w:t>
            </w:r>
          </w:p>
        </w:tc>
        <w:tc>
          <w:tcPr>
            <w:tcW w:w="700" w:type="dxa"/>
            <w:tcMar>
              <w:top w:w="0" w:type="dxa"/>
              <w:bottom w:w="0" w:type="dxa"/>
            </w:tcMar>
            <w:vAlign w:val="center"/>
          </w:tcPr>
          <w:p w:rsidR="002446FF" w:rsidRDefault="00000000">
            <w:pPr>
              <w:keepNext/>
              <w:keepLines/>
              <w:spacing w:after="0" w:line="240" w:lineRule="auto"/>
              <w:jc w:val="right"/>
            </w:pPr>
            <w:r>
              <w:rPr>
                <w:sz w:val="18"/>
              </w:rPr>
              <w:t>107,3</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b/>
                <w:sz w:val="18"/>
              </w:rPr>
              <w:t>MANJAK PRIMITAKA OD FINANCIJSKE IMOVINE I ZADUŽIVANJA (šifre 5-8)</w:t>
            </w:r>
          </w:p>
        </w:tc>
        <w:tc>
          <w:tcPr>
            <w:tcW w:w="700" w:type="dxa"/>
            <w:tcMar>
              <w:top w:w="0" w:type="dxa"/>
              <w:bottom w:w="0" w:type="dxa"/>
            </w:tcMar>
            <w:vAlign w:val="center"/>
          </w:tcPr>
          <w:p w:rsidR="002446FF" w:rsidRDefault="00000000">
            <w:pPr>
              <w:keepNext/>
              <w:keepLines/>
              <w:spacing w:after="0" w:line="240" w:lineRule="auto"/>
            </w:pPr>
            <w:r>
              <w:rPr>
                <w:b/>
                <w:sz w:val="18"/>
              </w:rPr>
              <w:t>Y003</w:t>
            </w:r>
          </w:p>
        </w:tc>
        <w:tc>
          <w:tcPr>
            <w:tcW w:w="1860" w:type="dxa"/>
            <w:tcMar>
              <w:top w:w="0" w:type="dxa"/>
              <w:bottom w:w="0" w:type="dxa"/>
            </w:tcMar>
            <w:vAlign w:val="center"/>
          </w:tcPr>
          <w:p w:rsidR="002446FF" w:rsidRDefault="00000000">
            <w:pPr>
              <w:keepNext/>
              <w:keepLines/>
              <w:spacing w:after="0" w:line="240" w:lineRule="auto"/>
              <w:jc w:val="right"/>
            </w:pPr>
            <w:r>
              <w:rPr>
                <w:b/>
                <w:sz w:val="18"/>
              </w:rPr>
              <w:t>1.803.347,49</w:t>
            </w:r>
          </w:p>
        </w:tc>
        <w:tc>
          <w:tcPr>
            <w:tcW w:w="1860" w:type="dxa"/>
            <w:tcMar>
              <w:top w:w="0" w:type="dxa"/>
              <w:bottom w:w="0" w:type="dxa"/>
            </w:tcMar>
            <w:vAlign w:val="center"/>
          </w:tcPr>
          <w:p w:rsidR="002446FF" w:rsidRDefault="00000000">
            <w:pPr>
              <w:keepNext/>
              <w:keepLines/>
              <w:spacing w:after="0" w:line="240" w:lineRule="auto"/>
              <w:jc w:val="right"/>
            </w:pPr>
            <w:r>
              <w:rPr>
                <w:b/>
                <w:sz w:val="18"/>
              </w:rPr>
              <w:t>1.959.714,63</w:t>
            </w:r>
          </w:p>
        </w:tc>
        <w:tc>
          <w:tcPr>
            <w:tcW w:w="700" w:type="dxa"/>
            <w:tcMar>
              <w:top w:w="0" w:type="dxa"/>
              <w:bottom w:w="0" w:type="dxa"/>
            </w:tcMar>
            <w:vAlign w:val="center"/>
          </w:tcPr>
          <w:p w:rsidR="002446FF" w:rsidRDefault="00000000">
            <w:pPr>
              <w:keepNext/>
              <w:keepLines/>
              <w:spacing w:after="0" w:line="240" w:lineRule="auto"/>
              <w:jc w:val="right"/>
            </w:pPr>
            <w:r>
              <w:rPr>
                <w:b/>
                <w:sz w:val="18"/>
              </w:rPr>
              <w:t>108,7</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rsidR="002446FF" w:rsidRDefault="00000000">
            <w:pPr>
              <w:keepNext/>
              <w:keepLines/>
              <w:spacing w:after="0" w:line="240" w:lineRule="auto"/>
            </w:pPr>
            <w:r>
              <w:rPr>
                <w:b/>
                <w:sz w:val="18"/>
              </w:rPr>
              <w:t>X005</w:t>
            </w:r>
          </w:p>
        </w:tc>
        <w:tc>
          <w:tcPr>
            <w:tcW w:w="1860" w:type="dxa"/>
            <w:tcMar>
              <w:top w:w="0" w:type="dxa"/>
              <w:bottom w:w="0" w:type="dxa"/>
            </w:tcMar>
            <w:vAlign w:val="center"/>
          </w:tcPr>
          <w:p w:rsidR="002446FF" w:rsidRDefault="00000000">
            <w:pPr>
              <w:keepNext/>
              <w:keepLines/>
              <w:spacing w:after="0" w:line="240" w:lineRule="auto"/>
              <w:jc w:val="right"/>
            </w:pPr>
            <w:r>
              <w:rPr>
                <w:b/>
                <w:sz w:val="18"/>
              </w:rPr>
              <w:t>5.622.235,16</w:t>
            </w:r>
          </w:p>
        </w:tc>
        <w:tc>
          <w:tcPr>
            <w:tcW w:w="1860" w:type="dxa"/>
            <w:tcMar>
              <w:top w:w="0" w:type="dxa"/>
              <w:bottom w:w="0" w:type="dxa"/>
            </w:tcMar>
            <w:vAlign w:val="center"/>
          </w:tcPr>
          <w:p w:rsidR="002446FF" w:rsidRDefault="00000000">
            <w:pPr>
              <w:keepNext/>
              <w:keepLines/>
              <w:spacing w:after="0" w:line="240" w:lineRule="auto"/>
              <w:jc w:val="right"/>
            </w:pPr>
            <w:r>
              <w:rPr>
                <w:b/>
                <w:sz w:val="18"/>
              </w:rPr>
              <w:t>6.199.196,77</w:t>
            </w:r>
          </w:p>
        </w:tc>
        <w:tc>
          <w:tcPr>
            <w:tcW w:w="700" w:type="dxa"/>
            <w:tcMar>
              <w:top w:w="0" w:type="dxa"/>
              <w:bottom w:w="0" w:type="dxa"/>
            </w:tcMar>
            <w:vAlign w:val="center"/>
          </w:tcPr>
          <w:p w:rsidR="002446FF" w:rsidRDefault="00000000">
            <w:pPr>
              <w:keepNext/>
              <w:keepLines/>
              <w:spacing w:after="0" w:line="240" w:lineRule="auto"/>
              <w:jc w:val="right"/>
            </w:pPr>
            <w:r>
              <w:rPr>
                <w:b/>
                <w:sz w:val="18"/>
              </w:rPr>
              <w:t>110,3</w:t>
            </w:r>
          </w:p>
        </w:tc>
      </w:tr>
    </w:tbl>
    <w:p w:rsidR="002446FF" w:rsidRDefault="002446FF">
      <w:pPr>
        <w:spacing w:after="0"/>
      </w:pPr>
    </w:p>
    <w:p w:rsidR="002446FF" w:rsidRDefault="00000000">
      <w:pPr>
        <w:jc w:val="both"/>
      </w:pPr>
      <w:r>
        <w:t xml:space="preserve">Osječko-baranjska županija sa sjedištem u gradu Osijeku osnovana je 1993. godine zakonom kojim je uspostavljeno teritorijalno ustrojstvo u Republici Hrvatskoj. Po svom pravnom statusu ona je jedinica područne (regionalne) samouprave. Poslove samouprave obavljaju Županijska skupština, župan i upravna tijela Županije. Županija obuhvaća 264 naselja smještena u 42 jedinice lokalne samouprave od kojih je 7 sa statusom grada te 35 sa statusom općine. Skupština Županije je predstavničko tijelo građana i tijelo područne (regionalne) </w:t>
      </w:r>
      <w:r>
        <w:lastRenderedPageBreak/>
        <w:t xml:space="preserve">samouprave. Djelokrug rada i nadležnost Skupštine utvrđeni su Statutom Županije. Župan kao izvršno tijelo obavlja izvršne poslove u Županiji i zastupa Županiju. Na neposrednim izborima održanim 18. svibnja 2025. godine za </w:t>
      </w:r>
      <w:proofErr w:type="spellStart"/>
      <w:r>
        <w:t>županicu</w:t>
      </w:r>
      <w:proofErr w:type="spellEnd"/>
      <w:r>
        <w:t xml:space="preserve"> Osječko-baranjske županije izabrana je Nataša </w:t>
      </w:r>
      <w:proofErr w:type="spellStart"/>
      <w:r>
        <w:t>Tramišak</w:t>
      </w:r>
      <w:proofErr w:type="spellEnd"/>
      <w:r>
        <w:t xml:space="preserve">, mag. </w:t>
      </w:r>
      <w:proofErr w:type="spellStart"/>
      <w:r>
        <w:t>iur</w:t>
      </w:r>
      <w:proofErr w:type="spellEnd"/>
      <w:r>
        <w:t xml:space="preserve">.. Za zamjenike </w:t>
      </w:r>
      <w:proofErr w:type="spellStart"/>
      <w:r>
        <w:t>županice</w:t>
      </w:r>
      <w:proofErr w:type="spellEnd"/>
      <w:r>
        <w:t xml:space="preserve"> izabrani su Goran Ivanović i Josip Miletić, a  zamjenik iz reda pripadnika srpske nacionalne manjine je Vladimir Horvat.</w:t>
      </w:r>
    </w:p>
    <w:p w:rsidR="002446FF" w:rsidRDefault="00000000">
      <w:pPr>
        <w:jc w:val="both"/>
      </w:pPr>
      <w:r>
        <w:t>Ustrojstvo upravnih tijela Županije uređeno je Odlukom o ustrojstvu i djelokrugu upravnih tijela Osječko-baranjske županije.  Prema toj Odluci, upravna tijela Županije su: </w:t>
      </w:r>
    </w:p>
    <w:p w:rsidR="002446FF" w:rsidRDefault="00000000">
      <w:pPr>
        <w:pStyle w:val="Odlomakpopisa"/>
        <w:numPr>
          <w:ilvl w:val="0"/>
          <w:numId w:val="1"/>
        </w:numPr>
      </w:pPr>
      <w:r>
        <w:t>Tajništvo Županije,</w:t>
      </w:r>
    </w:p>
    <w:p w:rsidR="002446FF" w:rsidRDefault="00000000">
      <w:pPr>
        <w:pStyle w:val="Odlomakpopisa"/>
        <w:numPr>
          <w:ilvl w:val="0"/>
          <w:numId w:val="1"/>
        </w:numPr>
      </w:pPr>
      <w:r>
        <w:t>Upravni odjel za zajedničke poslove,</w:t>
      </w:r>
    </w:p>
    <w:p w:rsidR="002446FF" w:rsidRDefault="00000000">
      <w:pPr>
        <w:pStyle w:val="Odlomakpopisa"/>
        <w:numPr>
          <w:ilvl w:val="0"/>
          <w:numId w:val="1"/>
        </w:numPr>
      </w:pPr>
      <w:r>
        <w:t>Upravni odjel za opću upravu,</w:t>
      </w:r>
    </w:p>
    <w:p w:rsidR="002446FF" w:rsidRDefault="00000000">
      <w:pPr>
        <w:pStyle w:val="Odlomakpopisa"/>
        <w:numPr>
          <w:ilvl w:val="0"/>
          <w:numId w:val="1"/>
        </w:numPr>
      </w:pPr>
      <w:r>
        <w:t>Upravni odjel za gospodarstvo i turizam,</w:t>
      </w:r>
    </w:p>
    <w:p w:rsidR="002446FF" w:rsidRDefault="00000000">
      <w:pPr>
        <w:pStyle w:val="Odlomakpopisa"/>
        <w:numPr>
          <w:ilvl w:val="0"/>
          <w:numId w:val="1"/>
        </w:numPr>
      </w:pPr>
      <w:r>
        <w:t>Upravni odjel za investicije, infrastrukturu i razvojne projekte,</w:t>
      </w:r>
    </w:p>
    <w:p w:rsidR="002446FF" w:rsidRDefault="00000000">
      <w:pPr>
        <w:pStyle w:val="Odlomakpopisa"/>
        <w:numPr>
          <w:ilvl w:val="0"/>
          <w:numId w:val="1"/>
        </w:numPr>
      </w:pPr>
      <w:r>
        <w:t>Upravni odjel za javne financije,</w:t>
      </w:r>
    </w:p>
    <w:p w:rsidR="002446FF" w:rsidRDefault="00000000">
      <w:pPr>
        <w:pStyle w:val="Odlomakpopisa"/>
        <w:numPr>
          <w:ilvl w:val="0"/>
          <w:numId w:val="1"/>
        </w:numPr>
      </w:pPr>
      <w:r>
        <w:t>Upravni odjel za poljoprivredu i ruralni razvoj,</w:t>
      </w:r>
    </w:p>
    <w:p w:rsidR="002446FF" w:rsidRDefault="00000000">
      <w:pPr>
        <w:pStyle w:val="Odlomakpopisa"/>
        <w:numPr>
          <w:ilvl w:val="0"/>
          <w:numId w:val="1"/>
        </w:numPr>
      </w:pPr>
      <w:r>
        <w:t>Upravni odjel za prostorno uređenje, graditeljstvo i imovinsko-pravne-poslove,</w:t>
      </w:r>
    </w:p>
    <w:p w:rsidR="002446FF" w:rsidRDefault="00000000">
      <w:pPr>
        <w:pStyle w:val="Odlomakpopisa"/>
        <w:numPr>
          <w:ilvl w:val="0"/>
          <w:numId w:val="1"/>
        </w:numPr>
      </w:pPr>
      <w:r>
        <w:t>Upravni odjel za zaštitu okoliša,</w:t>
      </w:r>
    </w:p>
    <w:p w:rsidR="002446FF" w:rsidRDefault="00000000">
      <w:pPr>
        <w:pStyle w:val="Odlomakpopisa"/>
        <w:numPr>
          <w:ilvl w:val="0"/>
          <w:numId w:val="1"/>
        </w:numPr>
      </w:pPr>
      <w:r>
        <w:t>Upravni odjel za obrazovanje, kulturu i sport,</w:t>
      </w:r>
    </w:p>
    <w:p w:rsidR="002446FF" w:rsidRDefault="00000000">
      <w:pPr>
        <w:pStyle w:val="Odlomakpopisa"/>
        <w:numPr>
          <w:ilvl w:val="0"/>
          <w:numId w:val="1"/>
        </w:numPr>
      </w:pPr>
      <w:r>
        <w:t>Upravni odjel za zdravstvo, socijalnu skrb i hrvatske branitelje,</w:t>
      </w:r>
    </w:p>
    <w:p w:rsidR="002446FF" w:rsidRDefault="00000000">
      <w:pPr>
        <w:pStyle w:val="Odlomakpopisa"/>
        <w:numPr>
          <w:ilvl w:val="0"/>
          <w:numId w:val="1"/>
        </w:numPr>
      </w:pPr>
      <w:r>
        <w:t>Upravni odjel za stambenu politiku, obitelj i mlade,</w:t>
      </w:r>
    </w:p>
    <w:p w:rsidR="002446FF" w:rsidRDefault="00000000">
      <w:pPr>
        <w:pStyle w:val="Odlomakpopisa"/>
        <w:numPr>
          <w:ilvl w:val="0"/>
          <w:numId w:val="1"/>
        </w:numPr>
      </w:pPr>
      <w:r>
        <w:t>Služba za javnu nabavu i</w:t>
      </w:r>
    </w:p>
    <w:p w:rsidR="002446FF" w:rsidRDefault="00000000">
      <w:pPr>
        <w:pStyle w:val="Odlomakpopisa"/>
        <w:numPr>
          <w:ilvl w:val="0"/>
          <w:numId w:val="1"/>
        </w:numPr>
      </w:pPr>
      <w:r>
        <w:t>Služba unutarnje revizije</w:t>
      </w:r>
    </w:p>
    <w:p w:rsidR="002446FF" w:rsidRDefault="00000000">
      <w:pPr>
        <w:jc w:val="both"/>
      </w:pPr>
      <w:r>
        <w:t>Podaci za popunjavanje financijskih izvještaja sadržani su u Glavnoj knjizi Osječko-baranjske županije koju informatički podržava informatički sustav Županijske riznice Osječko-baranjske županije. Županija ima jedinstveni račun Proračuna otvoren u Hrvatskoj poštanskoj banci d.d. broj: HR3423900011800014000, a na kojem se ostvaruju svi priljevi i izvršavaju svi odljevi proračuna i 85 proračunskih korisnika Županije, izuzev domova za starije i nemoćne osobe i zdravstvenih ustanova kojima je osnivač Županija. Skupština Osječko-baranjske županije donijela je na 5. sjednici 27. studenoga 2025. godine Odluku o raspodjeli financijskog rezultata kojom se evidentirala preraspodjela rezultata kako slijedi:</w:t>
      </w:r>
    </w:p>
    <w:p w:rsidR="002446FF" w:rsidRDefault="00000000">
      <w:pPr>
        <w:pStyle w:val="Odlomakpopisa"/>
        <w:numPr>
          <w:ilvl w:val="0"/>
          <w:numId w:val="2"/>
        </w:numPr>
        <w:jc w:val="both"/>
      </w:pPr>
      <w:r>
        <w:t xml:space="preserve">Viškom prihoda poslovanja izvora 1 Opći prihodi i primici, </w:t>
      </w:r>
      <w:proofErr w:type="spellStart"/>
      <w:r>
        <w:t>podizvor</w:t>
      </w:r>
      <w:proofErr w:type="spellEnd"/>
      <w:r>
        <w:t xml:space="preserve"> 111 pokrio se manjak prihoda od nefinancijske imovine </w:t>
      </w:r>
      <w:proofErr w:type="spellStart"/>
      <w:r>
        <w:t>podizvor</w:t>
      </w:r>
      <w:proofErr w:type="spellEnd"/>
      <w:r>
        <w:t xml:space="preserve"> 111 u iznosu od 7.824.371,65 eura i manjak primitaka od financijske imovine </w:t>
      </w:r>
      <w:proofErr w:type="spellStart"/>
      <w:r>
        <w:t>podizvor</w:t>
      </w:r>
      <w:proofErr w:type="spellEnd"/>
      <w:r>
        <w:t xml:space="preserve"> 111 u iznosu od 1.705.348,13 eura,</w:t>
      </w:r>
    </w:p>
    <w:p w:rsidR="002446FF" w:rsidRDefault="00000000">
      <w:pPr>
        <w:pStyle w:val="Odlomakpopisa"/>
        <w:numPr>
          <w:ilvl w:val="0"/>
          <w:numId w:val="2"/>
        </w:numPr>
        <w:jc w:val="both"/>
      </w:pPr>
      <w:r>
        <w:t xml:space="preserve">Viškom prihoda poslovanja izvora 4 Prihodi za posebne namjene, </w:t>
      </w:r>
      <w:proofErr w:type="spellStart"/>
      <w:r>
        <w:t>podizvor</w:t>
      </w:r>
      <w:proofErr w:type="spellEnd"/>
      <w:r>
        <w:t xml:space="preserve"> 4404 pokrio se manjak prihoda od nefinancijske imovine </w:t>
      </w:r>
      <w:proofErr w:type="spellStart"/>
      <w:r>
        <w:t>podizvor</w:t>
      </w:r>
      <w:proofErr w:type="spellEnd"/>
      <w:r>
        <w:t xml:space="preserve"> 4404 u iznosu od 10.087,10 eura,</w:t>
      </w:r>
    </w:p>
    <w:p w:rsidR="002446FF" w:rsidRDefault="00000000">
      <w:pPr>
        <w:pStyle w:val="Odlomakpopisa"/>
        <w:numPr>
          <w:ilvl w:val="0"/>
          <w:numId w:val="2"/>
        </w:numPr>
        <w:jc w:val="both"/>
      </w:pPr>
      <w:r>
        <w:t xml:space="preserve">Viškom prihoda poslovanja izvora 4 Prihodi za posebne namjene, </w:t>
      </w:r>
      <w:proofErr w:type="spellStart"/>
      <w:r>
        <w:t>podizvor</w:t>
      </w:r>
      <w:proofErr w:type="spellEnd"/>
      <w:r>
        <w:t xml:space="preserve"> 4405 pokrio se manjak prihoda od nefinancijske imovine </w:t>
      </w:r>
      <w:proofErr w:type="spellStart"/>
      <w:r>
        <w:t>podizvor</w:t>
      </w:r>
      <w:proofErr w:type="spellEnd"/>
      <w:r>
        <w:t xml:space="preserve"> 4405 u iznosu od 94,04 eura,</w:t>
      </w:r>
    </w:p>
    <w:p w:rsidR="002446FF" w:rsidRDefault="00000000">
      <w:pPr>
        <w:pStyle w:val="Odlomakpopisa"/>
        <w:numPr>
          <w:ilvl w:val="0"/>
          <w:numId w:val="2"/>
        </w:numPr>
        <w:jc w:val="both"/>
      </w:pPr>
      <w:r>
        <w:t xml:space="preserve">Viškom prihoda poslovanja izvora 5 Pomoći, </w:t>
      </w:r>
      <w:proofErr w:type="spellStart"/>
      <w:r>
        <w:t>podizvor</w:t>
      </w:r>
      <w:proofErr w:type="spellEnd"/>
      <w:r>
        <w:t xml:space="preserve"> 5137 pokrio se manjak prihoda od nefinancijske imovine </w:t>
      </w:r>
      <w:proofErr w:type="spellStart"/>
      <w:r>
        <w:t>podizvor</w:t>
      </w:r>
      <w:proofErr w:type="spellEnd"/>
      <w:r>
        <w:t xml:space="preserve"> 5137 u iznosu od 3.800,00 eura,</w:t>
      </w:r>
    </w:p>
    <w:p w:rsidR="002446FF" w:rsidRDefault="00000000">
      <w:pPr>
        <w:pStyle w:val="Odlomakpopisa"/>
        <w:numPr>
          <w:ilvl w:val="0"/>
          <w:numId w:val="2"/>
        </w:numPr>
        <w:jc w:val="both"/>
      </w:pPr>
      <w:r>
        <w:t xml:space="preserve">Viškom prihoda poslovanja izvora 5 Pomoći, </w:t>
      </w:r>
      <w:proofErr w:type="spellStart"/>
      <w:r>
        <w:t>podizvor</w:t>
      </w:r>
      <w:proofErr w:type="spellEnd"/>
      <w:r>
        <w:t xml:space="preserve"> 5139 pokrio se manjak prihoda od nefinancijske imovine </w:t>
      </w:r>
      <w:proofErr w:type="spellStart"/>
      <w:r>
        <w:t>podizvor</w:t>
      </w:r>
      <w:proofErr w:type="spellEnd"/>
      <w:r>
        <w:t xml:space="preserve"> 5139 u iznosu od 73.531,04 eura,</w:t>
      </w:r>
    </w:p>
    <w:p w:rsidR="002446FF" w:rsidRDefault="00000000">
      <w:pPr>
        <w:pStyle w:val="Odlomakpopisa"/>
        <w:numPr>
          <w:ilvl w:val="0"/>
          <w:numId w:val="2"/>
        </w:numPr>
        <w:jc w:val="both"/>
      </w:pPr>
      <w:r>
        <w:t xml:space="preserve">Viškom prihoda poslovanja izvora 8 Namjenski primici, </w:t>
      </w:r>
      <w:proofErr w:type="spellStart"/>
      <w:r>
        <w:t>podizvor</w:t>
      </w:r>
      <w:proofErr w:type="spellEnd"/>
      <w:r>
        <w:t xml:space="preserve"> 812 pokrio se manjak prihoda od nefinancijske imovine </w:t>
      </w:r>
      <w:proofErr w:type="spellStart"/>
      <w:r>
        <w:t>podizvor</w:t>
      </w:r>
      <w:proofErr w:type="spellEnd"/>
      <w:r>
        <w:t xml:space="preserve"> 812 u iznosu od 1.157.069,09 eura i</w:t>
      </w:r>
    </w:p>
    <w:p w:rsidR="002446FF" w:rsidRDefault="00000000">
      <w:pPr>
        <w:pStyle w:val="Odlomakpopisa"/>
        <w:numPr>
          <w:ilvl w:val="0"/>
          <w:numId w:val="2"/>
        </w:numPr>
        <w:jc w:val="both"/>
      </w:pPr>
      <w:r>
        <w:lastRenderedPageBreak/>
        <w:t xml:space="preserve">Viškom prihoda od nefinancijske imovine izvora 4 Prihodi za posebne namjene, </w:t>
      </w:r>
      <w:proofErr w:type="spellStart"/>
      <w:r>
        <w:t>podizvor</w:t>
      </w:r>
      <w:proofErr w:type="spellEnd"/>
      <w:r>
        <w:t xml:space="preserve"> 4408 pokrio se manjak primitaka od financijske imovine </w:t>
      </w:r>
      <w:proofErr w:type="spellStart"/>
      <w:r>
        <w:t>podizvor</w:t>
      </w:r>
      <w:proofErr w:type="spellEnd"/>
      <w:r>
        <w:t xml:space="preserve"> 111 u iznosu od 97.999,36 eura.</w:t>
      </w:r>
    </w:p>
    <w:p w:rsidR="002446FF" w:rsidRDefault="00000000">
      <w:pPr>
        <w:jc w:val="both"/>
      </w:pPr>
      <w:r>
        <w:t>Izvještaj o prihodima i rashodima, primicima i izdacima sastavljen je za razdoblje 1. siječnja do 31. prosinca 2025. godine i uključuje prihode i primitke, rashode i izdatke Osječko-baranjske županije. U ovom izvještaju ne iskazuju se prihodi i rashodi, primici i izdaci proračunskih korisnika po prirodnoj vrsti troška jer su oni na taj način iskazani u glavnim knjigama proračunskih korisnika i njihovim financijskim izvještajima. U ovom izvještaju iskazuju se prijenosi proračunskim korisnicima za financiranje njihove redovne djelatnosti koji se kod izrade konsolidiranog financijskog izvještaja državnog proračuna eliminiraju s obzirom da se radi o međusobnim transakcijama između nadležnog proračuna i njegovih proračunskih korisnika. Tijekom promatranog razdoblja ostvarene su kapitalne pomoći temeljem prijenosa EU sredstava vezano za izgradnju I. Gimnazije Osijek što je znatno utjecalo na višak prihoda poslovanja, dok su rashodi za nabavu nefinancijske imovine znatno veći obzirom na stupanj realizacije projekta izgradnje I. Gimnazije Osijek te se navedeno odrazilo na manjak prihoda od nefinancijske imovine. Manjak primitaka od financijske imovine i zaduživanja, rezultat je otplate tri dugoročna kredita. </w:t>
      </w:r>
    </w:p>
    <w:p w:rsidR="002446FF" w:rsidRDefault="00000000">
      <w:pPr>
        <w:jc w:val="both"/>
      </w:pPr>
      <w:r>
        <w:t>Zakonski okvir</w:t>
      </w:r>
    </w:p>
    <w:p w:rsidR="002446FF" w:rsidRDefault="00000000">
      <w:r>
        <w:t>Zakon o proračunu (Narodne novine, br. 144/21.),</w:t>
      </w:r>
      <w:r>
        <w:br/>
        <w:t>Odluka o izvršavanju Proračuna Osječko-baranjske županije za 2025. godinu ("Županijski glasnik" broj 14/24., 3/25., 7/25. i 12/25.),</w:t>
      </w:r>
      <w:r>
        <w:br/>
        <w:t>Pravilnik o proračunskom računovodstvu i Računskom planu (Narodne novine, br. 158/23. i 154/24.),</w:t>
      </w:r>
      <w:r>
        <w:br/>
        <w:t>Pravilnik o financijskom izvještavanju u proračunskom računovodstvu (Narodne novine, br. 37/22., 52/25. i 156/25.) i</w:t>
      </w:r>
      <w:r>
        <w:br/>
        <w:t>Pravilnik o proračunskim klasifikacijama (Narodne novine, br. 4/24. i 122/25.) </w:t>
      </w:r>
    </w:p>
    <w:p w:rsidR="002446FF" w:rsidRDefault="00000000">
      <w:r>
        <w:br/>
      </w:r>
    </w:p>
    <w:p w:rsidR="002446FF"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6131</w:t>
            </w:r>
          </w:p>
        </w:tc>
        <w:tc>
          <w:tcPr>
            <w:tcW w:w="3180" w:type="dxa"/>
            <w:tcMar>
              <w:top w:w="0" w:type="dxa"/>
              <w:bottom w:w="0" w:type="dxa"/>
            </w:tcMar>
            <w:vAlign w:val="center"/>
          </w:tcPr>
          <w:p w:rsidR="002446FF" w:rsidRDefault="00000000">
            <w:pPr>
              <w:keepNext/>
              <w:keepLines/>
              <w:spacing w:after="0" w:line="240" w:lineRule="auto"/>
            </w:pPr>
            <w:r>
              <w:rPr>
                <w:sz w:val="18"/>
              </w:rPr>
              <w:t>Stalni porezi na nepokretnu imovinu (zemlju, zgrade, kuće i ostalo)</w:t>
            </w:r>
          </w:p>
        </w:tc>
        <w:tc>
          <w:tcPr>
            <w:tcW w:w="700" w:type="dxa"/>
            <w:tcMar>
              <w:top w:w="0" w:type="dxa"/>
              <w:bottom w:w="0" w:type="dxa"/>
            </w:tcMar>
            <w:vAlign w:val="center"/>
          </w:tcPr>
          <w:p w:rsidR="002446FF" w:rsidRDefault="00000000">
            <w:pPr>
              <w:keepNext/>
              <w:keepLines/>
              <w:spacing w:after="0" w:line="240" w:lineRule="auto"/>
            </w:pPr>
            <w:r>
              <w:rPr>
                <w:sz w:val="18"/>
              </w:rPr>
              <w:t>6131</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52.394,55</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Tijekom 2025. godine ostvaren je prihod od poreza na nekretnine koji se počeo naplaćivati od 1. siječnja 2025. godine temeljem Zakona o izmjenama i dopunama Zakona o lokalnim porezima. </w:t>
      </w:r>
    </w:p>
    <w:p w:rsidR="002446FF" w:rsidRDefault="002446FF"/>
    <w:p w:rsidR="002446FF" w:rsidRDefault="00000000">
      <w:pPr>
        <w:keepNext/>
        <w:spacing w:line="240" w:lineRule="auto"/>
        <w:jc w:val="center"/>
      </w:pPr>
      <w:r>
        <w:rPr>
          <w:sz w:val="28"/>
        </w:rPr>
        <w:lastRenderedPageBreak/>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6132</w:t>
            </w:r>
          </w:p>
        </w:tc>
        <w:tc>
          <w:tcPr>
            <w:tcW w:w="3180" w:type="dxa"/>
            <w:tcMar>
              <w:top w:w="0" w:type="dxa"/>
              <w:bottom w:w="0" w:type="dxa"/>
            </w:tcMar>
            <w:vAlign w:val="center"/>
          </w:tcPr>
          <w:p w:rsidR="002446FF" w:rsidRDefault="00000000">
            <w:pPr>
              <w:keepNext/>
              <w:keepLines/>
              <w:spacing w:after="0" w:line="240" w:lineRule="auto"/>
            </w:pPr>
            <w:r>
              <w:rPr>
                <w:sz w:val="18"/>
              </w:rPr>
              <w:t>Porez na nasljedstva i darove</w:t>
            </w:r>
          </w:p>
        </w:tc>
        <w:tc>
          <w:tcPr>
            <w:tcW w:w="700" w:type="dxa"/>
            <w:tcMar>
              <w:top w:w="0" w:type="dxa"/>
              <w:bottom w:w="0" w:type="dxa"/>
            </w:tcMar>
            <w:vAlign w:val="center"/>
          </w:tcPr>
          <w:p w:rsidR="002446FF" w:rsidRDefault="00000000">
            <w:pPr>
              <w:keepNext/>
              <w:keepLines/>
              <w:spacing w:after="0" w:line="240" w:lineRule="auto"/>
            </w:pPr>
            <w:r>
              <w:rPr>
                <w:sz w:val="18"/>
              </w:rPr>
              <w:t>6132</w:t>
            </w:r>
          </w:p>
        </w:tc>
        <w:tc>
          <w:tcPr>
            <w:tcW w:w="1860" w:type="dxa"/>
            <w:tcMar>
              <w:top w:w="0" w:type="dxa"/>
              <w:bottom w:w="0" w:type="dxa"/>
            </w:tcMar>
            <w:vAlign w:val="center"/>
          </w:tcPr>
          <w:p w:rsidR="002446FF" w:rsidRDefault="00000000">
            <w:pPr>
              <w:keepNext/>
              <w:keepLines/>
              <w:spacing w:after="0" w:line="240" w:lineRule="auto"/>
              <w:jc w:val="right"/>
            </w:pPr>
            <w:r>
              <w:rPr>
                <w:sz w:val="18"/>
              </w:rPr>
              <w:t>114.349,23</w:t>
            </w:r>
          </w:p>
        </w:tc>
        <w:tc>
          <w:tcPr>
            <w:tcW w:w="1860" w:type="dxa"/>
            <w:tcMar>
              <w:top w:w="0" w:type="dxa"/>
              <w:bottom w:w="0" w:type="dxa"/>
            </w:tcMar>
            <w:vAlign w:val="center"/>
          </w:tcPr>
          <w:p w:rsidR="002446FF" w:rsidRDefault="00000000">
            <w:pPr>
              <w:keepNext/>
              <w:keepLines/>
              <w:spacing w:after="0" w:line="240" w:lineRule="auto"/>
              <w:jc w:val="right"/>
            </w:pPr>
            <w:r>
              <w:rPr>
                <w:sz w:val="18"/>
              </w:rPr>
              <w:t>141.064,25</w:t>
            </w:r>
          </w:p>
        </w:tc>
        <w:tc>
          <w:tcPr>
            <w:tcW w:w="700" w:type="dxa"/>
            <w:tcMar>
              <w:top w:w="0" w:type="dxa"/>
              <w:bottom w:w="0" w:type="dxa"/>
            </w:tcMar>
            <w:vAlign w:val="center"/>
          </w:tcPr>
          <w:p w:rsidR="002446FF" w:rsidRDefault="00000000">
            <w:pPr>
              <w:keepNext/>
              <w:keepLines/>
              <w:spacing w:after="0" w:line="240" w:lineRule="auto"/>
              <w:jc w:val="right"/>
            </w:pPr>
            <w:r>
              <w:rPr>
                <w:sz w:val="18"/>
              </w:rPr>
              <w:t>123,4</w:t>
            </w:r>
          </w:p>
        </w:tc>
      </w:tr>
    </w:tbl>
    <w:p w:rsidR="002446FF" w:rsidRDefault="002446FF">
      <w:pPr>
        <w:spacing w:after="0"/>
      </w:pPr>
    </w:p>
    <w:p w:rsidR="002446FF" w:rsidRDefault="00000000">
      <w:r>
        <w:t>Ostvarivanje ove vrste prihoda ovisi o broju zaprimljenih predmeta (rješenja o nasljeđivanju i ugovora o darovanju) i o pravu na zakonsko oslobođenje od utvrđivanja porezne obveze te se ne može utjecati na visinu ostvarenja.</w:t>
      </w:r>
    </w:p>
    <w:p w:rsidR="002446FF" w:rsidRDefault="002446FF"/>
    <w:p w:rsidR="002446FF"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632</w:t>
            </w:r>
          </w:p>
        </w:tc>
        <w:tc>
          <w:tcPr>
            <w:tcW w:w="3180" w:type="dxa"/>
            <w:tcMar>
              <w:top w:w="0" w:type="dxa"/>
              <w:bottom w:w="0" w:type="dxa"/>
            </w:tcMar>
            <w:vAlign w:val="center"/>
          </w:tcPr>
          <w:p w:rsidR="002446FF" w:rsidRDefault="00000000">
            <w:pPr>
              <w:keepNext/>
              <w:keepLines/>
              <w:spacing w:after="0" w:line="240" w:lineRule="auto"/>
            </w:pPr>
            <w:r>
              <w:rPr>
                <w:sz w:val="18"/>
              </w:rPr>
              <w:t>Pomoći od međunarodnih organizacija te institucija i tijela EU (šifre 6321 do 6324)</w:t>
            </w:r>
          </w:p>
        </w:tc>
        <w:tc>
          <w:tcPr>
            <w:tcW w:w="700" w:type="dxa"/>
            <w:tcMar>
              <w:top w:w="0" w:type="dxa"/>
              <w:bottom w:w="0" w:type="dxa"/>
            </w:tcMar>
            <w:vAlign w:val="center"/>
          </w:tcPr>
          <w:p w:rsidR="002446FF" w:rsidRDefault="00000000">
            <w:pPr>
              <w:keepNext/>
              <w:keepLines/>
              <w:spacing w:after="0" w:line="240" w:lineRule="auto"/>
            </w:pPr>
            <w:r>
              <w:rPr>
                <w:sz w:val="18"/>
              </w:rPr>
              <w:t>632</w:t>
            </w:r>
          </w:p>
        </w:tc>
        <w:tc>
          <w:tcPr>
            <w:tcW w:w="1860" w:type="dxa"/>
            <w:tcMar>
              <w:top w:w="0" w:type="dxa"/>
              <w:bottom w:w="0" w:type="dxa"/>
            </w:tcMar>
            <w:vAlign w:val="center"/>
          </w:tcPr>
          <w:p w:rsidR="002446FF" w:rsidRDefault="00000000">
            <w:pPr>
              <w:keepNext/>
              <w:keepLines/>
              <w:spacing w:after="0" w:line="240" w:lineRule="auto"/>
              <w:jc w:val="right"/>
            </w:pPr>
            <w:r>
              <w:rPr>
                <w:sz w:val="18"/>
              </w:rPr>
              <w:t>56.069,87</w:t>
            </w:r>
          </w:p>
        </w:tc>
        <w:tc>
          <w:tcPr>
            <w:tcW w:w="1860" w:type="dxa"/>
            <w:tcMar>
              <w:top w:w="0" w:type="dxa"/>
              <w:bottom w:w="0" w:type="dxa"/>
            </w:tcMar>
            <w:vAlign w:val="center"/>
          </w:tcPr>
          <w:p w:rsidR="002446FF" w:rsidRDefault="00000000">
            <w:pPr>
              <w:keepNext/>
              <w:keepLines/>
              <w:spacing w:after="0" w:line="240" w:lineRule="auto"/>
              <w:jc w:val="right"/>
            </w:pPr>
            <w:r>
              <w:rPr>
                <w:sz w:val="18"/>
              </w:rPr>
              <w:t>50.002,47</w:t>
            </w:r>
          </w:p>
        </w:tc>
        <w:tc>
          <w:tcPr>
            <w:tcW w:w="700" w:type="dxa"/>
            <w:tcMar>
              <w:top w:w="0" w:type="dxa"/>
              <w:bottom w:w="0" w:type="dxa"/>
            </w:tcMar>
            <w:vAlign w:val="center"/>
          </w:tcPr>
          <w:p w:rsidR="002446FF" w:rsidRDefault="00000000">
            <w:pPr>
              <w:keepNext/>
              <w:keepLines/>
              <w:spacing w:after="0" w:line="240" w:lineRule="auto"/>
              <w:jc w:val="right"/>
            </w:pPr>
            <w:r>
              <w:rPr>
                <w:sz w:val="18"/>
              </w:rPr>
              <w:t>89,2</w:t>
            </w:r>
          </w:p>
        </w:tc>
      </w:tr>
    </w:tbl>
    <w:p w:rsidR="002446FF" w:rsidRDefault="002446FF">
      <w:pPr>
        <w:spacing w:after="0"/>
      </w:pPr>
    </w:p>
    <w:p w:rsidR="002446FF" w:rsidRDefault="00000000">
      <w:r>
        <w:t xml:space="preserve">Tijekom 2024. i 2025. godine ostvareni su prihodi za provedbu projekta </w:t>
      </w:r>
      <w:proofErr w:type="spellStart"/>
      <w:r>
        <w:t>Pannonian</w:t>
      </w:r>
      <w:proofErr w:type="spellEnd"/>
      <w:r>
        <w:t xml:space="preserve"> </w:t>
      </w:r>
      <w:proofErr w:type="spellStart"/>
      <w:r>
        <w:t>superfood</w:t>
      </w:r>
      <w:proofErr w:type="spellEnd"/>
      <w:r>
        <w:t xml:space="preserve"> – MILKYWAY. U ovisnosti o stupnju realizacije projekta, ostvareni su prihodi temeljem njegove provedbe.</w:t>
      </w:r>
    </w:p>
    <w:p w:rsidR="002446FF" w:rsidRDefault="002446FF"/>
    <w:p w:rsidR="002446FF"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6323</w:t>
            </w:r>
          </w:p>
        </w:tc>
        <w:tc>
          <w:tcPr>
            <w:tcW w:w="3180" w:type="dxa"/>
            <w:tcMar>
              <w:top w:w="0" w:type="dxa"/>
              <w:bottom w:w="0" w:type="dxa"/>
            </w:tcMar>
            <w:vAlign w:val="center"/>
          </w:tcPr>
          <w:p w:rsidR="002446FF" w:rsidRDefault="00000000">
            <w:pPr>
              <w:keepNext/>
              <w:keepLines/>
              <w:spacing w:after="0" w:line="240" w:lineRule="auto"/>
            </w:pPr>
            <w:r>
              <w:rPr>
                <w:sz w:val="18"/>
              </w:rPr>
              <w:t>Tekuće pomoći od institucija i tijela EU</w:t>
            </w:r>
          </w:p>
        </w:tc>
        <w:tc>
          <w:tcPr>
            <w:tcW w:w="700" w:type="dxa"/>
            <w:tcMar>
              <w:top w:w="0" w:type="dxa"/>
              <w:bottom w:w="0" w:type="dxa"/>
            </w:tcMar>
            <w:vAlign w:val="center"/>
          </w:tcPr>
          <w:p w:rsidR="002446FF" w:rsidRDefault="00000000">
            <w:pPr>
              <w:keepNext/>
              <w:keepLines/>
              <w:spacing w:after="0" w:line="240" w:lineRule="auto"/>
            </w:pPr>
            <w:r>
              <w:rPr>
                <w:sz w:val="18"/>
              </w:rPr>
              <w:t>6323</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9.400,00</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 xml:space="preserve">Tijekom 2025. godine ostvareni su prihodi za provedbu projekt </w:t>
      </w:r>
      <w:proofErr w:type="spellStart"/>
      <w:r>
        <w:t>Horizon</w:t>
      </w:r>
      <w:proofErr w:type="spellEnd"/>
      <w:r>
        <w:t xml:space="preserve"> Europe </w:t>
      </w:r>
      <w:proofErr w:type="spellStart"/>
      <w:r>
        <w:t>ClimEmpower</w:t>
      </w:r>
      <w:proofErr w:type="spellEnd"/>
      <w:r>
        <w:t>. Tijekom 2024. godine nema ostvarenih prihoda ove vrste. </w:t>
      </w:r>
    </w:p>
    <w:p w:rsidR="002446FF" w:rsidRDefault="002446FF"/>
    <w:p w:rsidR="002446FF"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6331</w:t>
            </w:r>
          </w:p>
        </w:tc>
        <w:tc>
          <w:tcPr>
            <w:tcW w:w="3180" w:type="dxa"/>
            <w:tcMar>
              <w:top w:w="0" w:type="dxa"/>
              <w:bottom w:w="0" w:type="dxa"/>
            </w:tcMar>
            <w:vAlign w:val="center"/>
          </w:tcPr>
          <w:p w:rsidR="002446FF" w:rsidRDefault="00000000">
            <w:pPr>
              <w:keepNext/>
              <w:keepLines/>
              <w:spacing w:after="0" w:line="240" w:lineRule="auto"/>
            </w:pPr>
            <w:r>
              <w:rPr>
                <w:sz w:val="18"/>
              </w:rPr>
              <w:t>Tekuće pomoći proračunu i izvanproračunskim korisnicima iz drugih proračuna</w:t>
            </w:r>
          </w:p>
        </w:tc>
        <w:tc>
          <w:tcPr>
            <w:tcW w:w="700" w:type="dxa"/>
            <w:tcMar>
              <w:top w:w="0" w:type="dxa"/>
              <w:bottom w:w="0" w:type="dxa"/>
            </w:tcMar>
            <w:vAlign w:val="center"/>
          </w:tcPr>
          <w:p w:rsidR="002446FF" w:rsidRDefault="00000000">
            <w:pPr>
              <w:keepNext/>
              <w:keepLines/>
              <w:spacing w:after="0" w:line="240" w:lineRule="auto"/>
            </w:pPr>
            <w:r>
              <w:rPr>
                <w:sz w:val="18"/>
              </w:rPr>
              <w:t>6331</w:t>
            </w:r>
          </w:p>
        </w:tc>
        <w:tc>
          <w:tcPr>
            <w:tcW w:w="1860" w:type="dxa"/>
            <w:tcMar>
              <w:top w:w="0" w:type="dxa"/>
              <w:bottom w:w="0" w:type="dxa"/>
            </w:tcMar>
            <w:vAlign w:val="center"/>
          </w:tcPr>
          <w:p w:rsidR="002446FF" w:rsidRDefault="00000000">
            <w:pPr>
              <w:keepNext/>
              <w:keepLines/>
              <w:spacing w:after="0" w:line="240" w:lineRule="auto"/>
              <w:jc w:val="right"/>
            </w:pPr>
            <w:r>
              <w:rPr>
                <w:sz w:val="18"/>
              </w:rPr>
              <w:t>12.965.693,85</w:t>
            </w:r>
          </w:p>
        </w:tc>
        <w:tc>
          <w:tcPr>
            <w:tcW w:w="1860" w:type="dxa"/>
            <w:tcMar>
              <w:top w:w="0" w:type="dxa"/>
              <w:bottom w:w="0" w:type="dxa"/>
            </w:tcMar>
            <w:vAlign w:val="center"/>
          </w:tcPr>
          <w:p w:rsidR="002446FF" w:rsidRDefault="00000000">
            <w:pPr>
              <w:keepNext/>
              <w:keepLines/>
              <w:spacing w:after="0" w:line="240" w:lineRule="auto"/>
              <w:jc w:val="right"/>
            </w:pPr>
            <w:r>
              <w:rPr>
                <w:sz w:val="18"/>
              </w:rPr>
              <w:t>9.316.100,20</w:t>
            </w:r>
          </w:p>
        </w:tc>
        <w:tc>
          <w:tcPr>
            <w:tcW w:w="700" w:type="dxa"/>
            <w:tcMar>
              <w:top w:w="0" w:type="dxa"/>
              <w:bottom w:w="0" w:type="dxa"/>
            </w:tcMar>
            <w:vAlign w:val="center"/>
          </w:tcPr>
          <w:p w:rsidR="002446FF" w:rsidRDefault="00000000">
            <w:pPr>
              <w:keepNext/>
              <w:keepLines/>
              <w:spacing w:after="0" w:line="240" w:lineRule="auto"/>
              <w:jc w:val="right"/>
            </w:pPr>
            <w:r>
              <w:rPr>
                <w:sz w:val="18"/>
              </w:rPr>
              <w:t>71,9</w:t>
            </w:r>
          </w:p>
        </w:tc>
      </w:tr>
    </w:tbl>
    <w:p w:rsidR="002446FF" w:rsidRDefault="002446FF">
      <w:pPr>
        <w:spacing w:after="0"/>
      </w:pPr>
    </w:p>
    <w:p w:rsidR="002446FF" w:rsidRDefault="00000000">
      <w:r>
        <w:t>Tekuće pomoći ostvarene 2025. godine su znatno manje jer su tijekom 2024. godine uplaćena sredstva za provedbu izbora zastupnika u Hrvatski sabor održanih 17. travnja 2024. godine i izbora članova u EU parlament iz RH održanih 9. lipnja 2024. godine.</w:t>
      </w:r>
    </w:p>
    <w:p w:rsidR="002446FF" w:rsidRDefault="002446FF"/>
    <w:p w:rsidR="002446FF"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6332</w:t>
            </w:r>
          </w:p>
        </w:tc>
        <w:tc>
          <w:tcPr>
            <w:tcW w:w="3180" w:type="dxa"/>
            <w:tcMar>
              <w:top w:w="0" w:type="dxa"/>
              <w:bottom w:w="0" w:type="dxa"/>
            </w:tcMar>
            <w:vAlign w:val="center"/>
          </w:tcPr>
          <w:p w:rsidR="002446FF" w:rsidRDefault="00000000">
            <w:pPr>
              <w:keepNext/>
              <w:keepLines/>
              <w:spacing w:after="0" w:line="240" w:lineRule="auto"/>
            </w:pPr>
            <w:r>
              <w:rPr>
                <w:sz w:val="18"/>
              </w:rPr>
              <w:t>Kapitalne pomoći proračunu i izvanproračunskim korisnicima iz drugih proračuna</w:t>
            </w:r>
          </w:p>
        </w:tc>
        <w:tc>
          <w:tcPr>
            <w:tcW w:w="700" w:type="dxa"/>
            <w:tcMar>
              <w:top w:w="0" w:type="dxa"/>
              <w:bottom w:w="0" w:type="dxa"/>
            </w:tcMar>
            <w:vAlign w:val="center"/>
          </w:tcPr>
          <w:p w:rsidR="002446FF" w:rsidRDefault="00000000">
            <w:pPr>
              <w:keepNext/>
              <w:keepLines/>
              <w:spacing w:after="0" w:line="240" w:lineRule="auto"/>
            </w:pPr>
            <w:r>
              <w:rPr>
                <w:sz w:val="18"/>
              </w:rPr>
              <w:t>6332</w:t>
            </w:r>
          </w:p>
        </w:tc>
        <w:tc>
          <w:tcPr>
            <w:tcW w:w="1860" w:type="dxa"/>
            <w:tcMar>
              <w:top w:w="0" w:type="dxa"/>
              <w:bottom w:w="0" w:type="dxa"/>
            </w:tcMar>
            <w:vAlign w:val="center"/>
          </w:tcPr>
          <w:p w:rsidR="002446FF" w:rsidRDefault="00000000">
            <w:pPr>
              <w:keepNext/>
              <w:keepLines/>
              <w:spacing w:after="0" w:line="240" w:lineRule="auto"/>
              <w:jc w:val="right"/>
            </w:pPr>
            <w:r>
              <w:rPr>
                <w:sz w:val="18"/>
              </w:rPr>
              <w:t>796.915,40</w:t>
            </w:r>
          </w:p>
        </w:tc>
        <w:tc>
          <w:tcPr>
            <w:tcW w:w="1860" w:type="dxa"/>
            <w:tcMar>
              <w:top w:w="0" w:type="dxa"/>
              <w:bottom w:w="0" w:type="dxa"/>
            </w:tcMar>
            <w:vAlign w:val="center"/>
          </w:tcPr>
          <w:p w:rsidR="002446FF" w:rsidRDefault="00000000">
            <w:pPr>
              <w:keepNext/>
              <w:keepLines/>
              <w:spacing w:after="0" w:line="240" w:lineRule="auto"/>
              <w:jc w:val="right"/>
            </w:pPr>
            <w:r>
              <w:rPr>
                <w:sz w:val="18"/>
              </w:rPr>
              <w:t>689.940,11</w:t>
            </w:r>
          </w:p>
        </w:tc>
        <w:tc>
          <w:tcPr>
            <w:tcW w:w="700" w:type="dxa"/>
            <w:tcMar>
              <w:top w:w="0" w:type="dxa"/>
              <w:bottom w:w="0" w:type="dxa"/>
            </w:tcMar>
            <w:vAlign w:val="center"/>
          </w:tcPr>
          <w:p w:rsidR="002446FF" w:rsidRDefault="00000000">
            <w:pPr>
              <w:keepNext/>
              <w:keepLines/>
              <w:spacing w:after="0" w:line="240" w:lineRule="auto"/>
              <w:jc w:val="right"/>
            </w:pPr>
            <w:r>
              <w:rPr>
                <w:sz w:val="18"/>
              </w:rPr>
              <w:t>86,6</w:t>
            </w:r>
          </w:p>
        </w:tc>
      </w:tr>
    </w:tbl>
    <w:p w:rsidR="002446FF" w:rsidRDefault="002446FF">
      <w:pPr>
        <w:spacing w:after="0"/>
      </w:pPr>
    </w:p>
    <w:p w:rsidR="002446FF" w:rsidRDefault="00000000">
      <w:r>
        <w:t xml:space="preserve">Tijekom 2025. godine ostvarena su sredstva za izgradnju SN Mala šuma-Veliki vrt, sanaciju krovišta dvorane OŠ kralja Tomislava, Našice, opremanje I. Gimnazije Osijek, sanaciju sustava grijanja OŠ I. G. Kovačić Đakovo i razvoj javne turističke infrastrukture. 2024. godine ova vrsta prihoda ostvarena je za sustave navodnjavanja Poljoprivredni institut Osijek i </w:t>
      </w:r>
      <w:proofErr w:type="spellStart"/>
      <w:r>
        <w:t>Budimci</w:t>
      </w:r>
      <w:proofErr w:type="spellEnd"/>
      <w:r>
        <w:t xml:space="preserve">-Krndija, projekt Regionalni znanstveni centri Panonske Hrvatske, obnovu OŠ I. B. Mažuranića, Koška, PŠ Lug </w:t>
      </w:r>
      <w:proofErr w:type="spellStart"/>
      <w:r>
        <w:t>Subotički</w:t>
      </w:r>
      <w:proofErr w:type="spellEnd"/>
      <w:r>
        <w:t>, adaptaciju školsko-sportske dvorane OŠ Ernestinovo i adaptaciju školskog igrališta OŠ Dore Pejačević Našice.</w:t>
      </w:r>
    </w:p>
    <w:p w:rsidR="002446FF" w:rsidRDefault="002446FF"/>
    <w:p w:rsidR="002446FF"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6342</w:t>
            </w:r>
          </w:p>
        </w:tc>
        <w:tc>
          <w:tcPr>
            <w:tcW w:w="3180" w:type="dxa"/>
            <w:tcMar>
              <w:top w:w="0" w:type="dxa"/>
              <w:bottom w:w="0" w:type="dxa"/>
            </w:tcMar>
            <w:vAlign w:val="center"/>
          </w:tcPr>
          <w:p w:rsidR="002446FF" w:rsidRDefault="00000000">
            <w:pPr>
              <w:keepNext/>
              <w:keepLines/>
              <w:spacing w:after="0" w:line="240" w:lineRule="auto"/>
            </w:pPr>
            <w:r>
              <w:rPr>
                <w:sz w:val="18"/>
              </w:rPr>
              <w:t>Kapitalne pomoći od izvanproračunskih korisnika</w:t>
            </w:r>
          </w:p>
        </w:tc>
        <w:tc>
          <w:tcPr>
            <w:tcW w:w="700" w:type="dxa"/>
            <w:tcMar>
              <w:top w:w="0" w:type="dxa"/>
              <w:bottom w:w="0" w:type="dxa"/>
            </w:tcMar>
            <w:vAlign w:val="center"/>
          </w:tcPr>
          <w:p w:rsidR="002446FF" w:rsidRDefault="00000000">
            <w:pPr>
              <w:keepNext/>
              <w:keepLines/>
              <w:spacing w:after="0" w:line="240" w:lineRule="auto"/>
            </w:pPr>
            <w:r>
              <w:rPr>
                <w:sz w:val="18"/>
              </w:rPr>
              <w:t>6342</w:t>
            </w:r>
          </w:p>
        </w:tc>
        <w:tc>
          <w:tcPr>
            <w:tcW w:w="1860" w:type="dxa"/>
            <w:tcMar>
              <w:top w:w="0" w:type="dxa"/>
              <w:bottom w:w="0" w:type="dxa"/>
            </w:tcMar>
            <w:vAlign w:val="center"/>
          </w:tcPr>
          <w:p w:rsidR="002446FF" w:rsidRDefault="00000000">
            <w:pPr>
              <w:keepNext/>
              <w:keepLines/>
              <w:spacing w:after="0" w:line="240" w:lineRule="auto"/>
              <w:jc w:val="right"/>
            </w:pPr>
            <w:r>
              <w:rPr>
                <w:sz w:val="18"/>
              </w:rPr>
              <w:t>599.999,39</w:t>
            </w:r>
          </w:p>
        </w:tc>
        <w:tc>
          <w:tcPr>
            <w:tcW w:w="1860" w:type="dxa"/>
            <w:tcMar>
              <w:top w:w="0" w:type="dxa"/>
              <w:bottom w:w="0" w:type="dxa"/>
            </w:tcMar>
            <w:vAlign w:val="center"/>
          </w:tcPr>
          <w:p w:rsidR="002446FF" w:rsidRDefault="00000000">
            <w:pPr>
              <w:keepNext/>
              <w:keepLines/>
              <w:spacing w:after="0" w:line="240" w:lineRule="auto"/>
              <w:jc w:val="right"/>
            </w:pPr>
            <w:r>
              <w:rPr>
                <w:sz w:val="18"/>
              </w:rPr>
              <w:t>248.994,62</w:t>
            </w:r>
          </w:p>
        </w:tc>
        <w:tc>
          <w:tcPr>
            <w:tcW w:w="700" w:type="dxa"/>
            <w:tcMar>
              <w:top w:w="0" w:type="dxa"/>
              <w:bottom w:w="0" w:type="dxa"/>
            </w:tcMar>
            <w:vAlign w:val="center"/>
          </w:tcPr>
          <w:p w:rsidR="002446FF" w:rsidRDefault="00000000">
            <w:pPr>
              <w:keepNext/>
              <w:keepLines/>
              <w:spacing w:after="0" w:line="240" w:lineRule="auto"/>
              <w:jc w:val="right"/>
            </w:pPr>
            <w:r>
              <w:rPr>
                <w:sz w:val="18"/>
              </w:rPr>
              <w:t>41,5</w:t>
            </w:r>
          </w:p>
        </w:tc>
      </w:tr>
    </w:tbl>
    <w:p w:rsidR="002446FF" w:rsidRDefault="002446FF">
      <w:pPr>
        <w:spacing w:after="0"/>
      </w:pPr>
    </w:p>
    <w:p w:rsidR="002446FF" w:rsidRDefault="00000000">
      <w:r>
        <w:t>Tijekom 2025. godine ostvarili su se prihodi od Hrvatskih voda za potrebe dogradnje sustava navodnjavanja Gat u odnosu na isto razdoblje 2024. godinu kada ih je bilo više za istu namjenu.</w:t>
      </w:r>
    </w:p>
    <w:p w:rsidR="002446FF" w:rsidRDefault="002446FF"/>
    <w:p w:rsidR="002446FF"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6353</w:t>
            </w:r>
          </w:p>
        </w:tc>
        <w:tc>
          <w:tcPr>
            <w:tcW w:w="3180" w:type="dxa"/>
            <w:tcMar>
              <w:top w:w="0" w:type="dxa"/>
              <w:bottom w:w="0" w:type="dxa"/>
            </w:tcMar>
            <w:vAlign w:val="center"/>
          </w:tcPr>
          <w:p w:rsidR="002446FF" w:rsidRDefault="00000000">
            <w:pPr>
              <w:keepNext/>
              <w:keepLines/>
              <w:spacing w:after="0" w:line="240" w:lineRule="auto"/>
            </w:pPr>
            <w:r>
              <w:rPr>
                <w:sz w:val="18"/>
              </w:rPr>
              <w:t>Pomoći fiskalnog izravnanja</w:t>
            </w:r>
          </w:p>
        </w:tc>
        <w:tc>
          <w:tcPr>
            <w:tcW w:w="700" w:type="dxa"/>
            <w:tcMar>
              <w:top w:w="0" w:type="dxa"/>
              <w:bottom w:w="0" w:type="dxa"/>
            </w:tcMar>
            <w:vAlign w:val="center"/>
          </w:tcPr>
          <w:p w:rsidR="002446FF" w:rsidRDefault="00000000">
            <w:pPr>
              <w:keepNext/>
              <w:keepLines/>
              <w:spacing w:after="0" w:line="240" w:lineRule="auto"/>
            </w:pPr>
            <w:r>
              <w:rPr>
                <w:sz w:val="18"/>
              </w:rPr>
              <w:t>6353</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2.548.192,17</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Sukladno Pravilniku o proračunskom računovodstvu i Računskom planu, pomoći fiskalnog izravnanja se od 1. siječnja 2025. godine evidentiraju na novootvorenom računu.</w:t>
      </w:r>
    </w:p>
    <w:p w:rsidR="002446FF" w:rsidRDefault="002446FF"/>
    <w:p w:rsidR="002446FF" w:rsidRDefault="00000000">
      <w:pPr>
        <w:keepNext/>
        <w:spacing w:line="240" w:lineRule="auto"/>
        <w:jc w:val="center"/>
      </w:pPr>
      <w:r>
        <w:rPr>
          <w:sz w:val="28"/>
        </w:rPr>
        <w:lastRenderedPageBreak/>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638</w:t>
            </w:r>
          </w:p>
        </w:tc>
        <w:tc>
          <w:tcPr>
            <w:tcW w:w="3180" w:type="dxa"/>
            <w:tcMar>
              <w:top w:w="0" w:type="dxa"/>
              <w:bottom w:w="0" w:type="dxa"/>
            </w:tcMar>
            <w:vAlign w:val="center"/>
          </w:tcPr>
          <w:p w:rsidR="002446FF" w:rsidRDefault="00000000">
            <w:pPr>
              <w:keepNext/>
              <w:keepLines/>
              <w:spacing w:after="0" w:line="240" w:lineRule="auto"/>
            </w:pPr>
            <w:r>
              <w:rPr>
                <w:sz w:val="18"/>
              </w:rPr>
              <w:t>Pomoći temeljem prijenosa EU sredstava (šifre 6381+6382)</w:t>
            </w:r>
          </w:p>
        </w:tc>
        <w:tc>
          <w:tcPr>
            <w:tcW w:w="700" w:type="dxa"/>
            <w:tcMar>
              <w:top w:w="0" w:type="dxa"/>
              <w:bottom w:w="0" w:type="dxa"/>
            </w:tcMar>
            <w:vAlign w:val="center"/>
          </w:tcPr>
          <w:p w:rsidR="002446FF" w:rsidRDefault="00000000">
            <w:pPr>
              <w:keepNext/>
              <w:keepLines/>
              <w:spacing w:after="0" w:line="240" w:lineRule="auto"/>
            </w:pPr>
            <w:r>
              <w:rPr>
                <w:sz w:val="18"/>
              </w:rPr>
              <w:t>638</w:t>
            </w:r>
          </w:p>
        </w:tc>
        <w:tc>
          <w:tcPr>
            <w:tcW w:w="1860" w:type="dxa"/>
            <w:tcMar>
              <w:top w:w="0" w:type="dxa"/>
              <w:bottom w:w="0" w:type="dxa"/>
            </w:tcMar>
            <w:vAlign w:val="center"/>
          </w:tcPr>
          <w:p w:rsidR="002446FF" w:rsidRDefault="00000000">
            <w:pPr>
              <w:keepNext/>
              <w:keepLines/>
              <w:spacing w:after="0" w:line="240" w:lineRule="auto"/>
              <w:jc w:val="right"/>
            </w:pPr>
            <w:r>
              <w:rPr>
                <w:sz w:val="18"/>
              </w:rPr>
              <w:t>12.123.728,52</w:t>
            </w:r>
          </w:p>
        </w:tc>
        <w:tc>
          <w:tcPr>
            <w:tcW w:w="1860" w:type="dxa"/>
            <w:tcMar>
              <w:top w:w="0" w:type="dxa"/>
              <w:bottom w:w="0" w:type="dxa"/>
            </w:tcMar>
            <w:vAlign w:val="center"/>
          </w:tcPr>
          <w:p w:rsidR="002446FF" w:rsidRDefault="00000000">
            <w:pPr>
              <w:keepNext/>
              <w:keepLines/>
              <w:spacing w:after="0" w:line="240" w:lineRule="auto"/>
              <w:jc w:val="right"/>
            </w:pPr>
            <w:r>
              <w:rPr>
                <w:sz w:val="18"/>
              </w:rPr>
              <w:t>9.117.796,61</w:t>
            </w:r>
          </w:p>
        </w:tc>
        <w:tc>
          <w:tcPr>
            <w:tcW w:w="700" w:type="dxa"/>
            <w:tcMar>
              <w:top w:w="0" w:type="dxa"/>
              <w:bottom w:w="0" w:type="dxa"/>
            </w:tcMar>
            <w:vAlign w:val="center"/>
          </w:tcPr>
          <w:p w:rsidR="002446FF" w:rsidRDefault="00000000">
            <w:pPr>
              <w:keepNext/>
              <w:keepLines/>
              <w:spacing w:after="0" w:line="240" w:lineRule="auto"/>
              <w:jc w:val="right"/>
            </w:pPr>
            <w:r>
              <w:rPr>
                <w:sz w:val="18"/>
              </w:rPr>
              <w:t>75,2</w:t>
            </w:r>
          </w:p>
        </w:tc>
      </w:tr>
    </w:tbl>
    <w:p w:rsidR="002446FF" w:rsidRDefault="002446FF">
      <w:pPr>
        <w:spacing w:after="0"/>
      </w:pPr>
    </w:p>
    <w:p w:rsidR="002446FF" w:rsidRDefault="00000000">
      <w:r>
        <w:t>Tekuće pomoći temeljem prijenosa EU sredstava su 2025. godine ostvarene više u odnosu na 2024. godine budući da su uplaćena sredstva po zahtjevu za nadoknadu sredstava za izgradnju I. Gimnazije Osijek u iznosu od 4.799.920,00 eura. </w:t>
      </w:r>
    </w:p>
    <w:p w:rsidR="002446FF" w:rsidRDefault="002446FF"/>
    <w:p w:rsidR="002446FF"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6413</w:t>
            </w:r>
          </w:p>
        </w:tc>
        <w:tc>
          <w:tcPr>
            <w:tcW w:w="3180" w:type="dxa"/>
            <w:tcMar>
              <w:top w:w="0" w:type="dxa"/>
              <w:bottom w:w="0" w:type="dxa"/>
            </w:tcMar>
            <w:vAlign w:val="center"/>
          </w:tcPr>
          <w:p w:rsidR="002446FF" w:rsidRDefault="00000000">
            <w:pPr>
              <w:keepNext/>
              <w:keepLines/>
              <w:spacing w:after="0" w:line="240" w:lineRule="auto"/>
            </w:pPr>
            <w:r>
              <w:rPr>
                <w:sz w:val="18"/>
              </w:rPr>
              <w:t>Kamate na oročena sredstva i depozite po viđenju</w:t>
            </w:r>
          </w:p>
        </w:tc>
        <w:tc>
          <w:tcPr>
            <w:tcW w:w="700" w:type="dxa"/>
            <w:tcMar>
              <w:top w:w="0" w:type="dxa"/>
              <w:bottom w:w="0" w:type="dxa"/>
            </w:tcMar>
            <w:vAlign w:val="center"/>
          </w:tcPr>
          <w:p w:rsidR="002446FF" w:rsidRDefault="00000000">
            <w:pPr>
              <w:keepNext/>
              <w:keepLines/>
              <w:spacing w:after="0" w:line="240" w:lineRule="auto"/>
            </w:pPr>
            <w:r>
              <w:rPr>
                <w:sz w:val="18"/>
              </w:rPr>
              <w:t>6413</w:t>
            </w:r>
          </w:p>
        </w:tc>
        <w:tc>
          <w:tcPr>
            <w:tcW w:w="1860" w:type="dxa"/>
            <w:tcMar>
              <w:top w:w="0" w:type="dxa"/>
              <w:bottom w:w="0" w:type="dxa"/>
            </w:tcMar>
            <w:vAlign w:val="center"/>
          </w:tcPr>
          <w:p w:rsidR="002446FF" w:rsidRDefault="00000000">
            <w:pPr>
              <w:keepNext/>
              <w:keepLines/>
              <w:spacing w:after="0" w:line="240" w:lineRule="auto"/>
              <w:jc w:val="right"/>
            </w:pPr>
            <w:r>
              <w:rPr>
                <w:sz w:val="18"/>
              </w:rPr>
              <w:t>27.983,94</w:t>
            </w:r>
          </w:p>
        </w:tc>
        <w:tc>
          <w:tcPr>
            <w:tcW w:w="1860" w:type="dxa"/>
            <w:tcMar>
              <w:top w:w="0" w:type="dxa"/>
              <w:bottom w:w="0" w:type="dxa"/>
            </w:tcMar>
            <w:vAlign w:val="center"/>
          </w:tcPr>
          <w:p w:rsidR="002446FF" w:rsidRDefault="00000000">
            <w:pPr>
              <w:keepNext/>
              <w:keepLines/>
              <w:spacing w:after="0" w:line="240" w:lineRule="auto"/>
              <w:jc w:val="right"/>
            </w:pPr>
            <w:r>
              <w:rPr>
                <w:sz w:val="18"/>
              </w:rPr>
              <w:t>163.813,71</w:t>
            </w:r>
          </w:p>
        </w:tc>
        <w:tc>
          <w:tcPr>
            <w:tcW w:w="700" w:type="dxa"/>
            <w:tcMar>
              <w:top w:w="0" w:type="dxa"/>
              <w:bottom w:w="0" w:type="dxa"/>
            </w:tcMar>
            <w:vAlign w:val="center"/>
          </w:tcPr>
          <w:p w:rsidR="002446FF" w:rsidRDefault="00000000">
            <w:pPr>
              <w:keepNext/>
              <w:keepLines/>
              <w:spacing w:after="0" w:line="240" w:lineRule="auto"/>
              <w:jc w:val="right"/>
            </w:pPr>
            <w:r>
              <w:rPr>
                <w:sz w:val="18"/>
              </w:rPr>
              <w:t>585,4</w:t>
            </w:r>
          </w:p>
        </w:tc>
      </w:tr>
    </w:tbl>
    <w:p w:rsidR="002446FF" w:rsidRDefault="002446FF">
      <w:pPr>
        <w:spacing w:after="0"/>
      </w:pPr>
    </w:p>
    <w:p w:rsidR="002446FF" w:rsidRDefault="00000000">
      <w:r>
        <w:t>Tijekom 2025. godine evidentirano povećanje odnosi se na ostvarene kamate na oročena sredstva u osam navrata u odnosu na 2024. godinu kada se sredstva nisu oročavala.</w:t>
      </w:r>
    </w:p>
    <w:p w:rsidR="002446FF" w:rsidRDefault="002446FF"/>
    <w:p w:rsidR="002446FF"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6414</w:t>
            </w:r>
          </w:p>
        </w:tc>
        <w:tc>
          <w:tcPr>
            <w:tcW w:w="3180" w:type="dxa"/>
            <w:tcMar>
              <w:top w:w="0" w:type="dxa"/>
              <w:bottom w:w="0" w:type="dxa"/>
            </w:tcMar>
            <w:vAlign w:val="center"/>
          </w:tcPr>
          <w:p w:rsidR="002446FF" w:rsidRDefault="00000000">
            <w:pPr>
              <w:keepNext/>
              <w:keepLines/>
              <w:spacing w:after="0" w:line="240" w:lineRule="auto"/>
            </w:pPr>
            <w:r>
              <w:rPr>
                <w:sz w:val="18"/>
              </w:rPr>
              <w:t>Prihodi od zateznih kamata</w:t>
            </w:r>
          </w:p>
        </w:tc>
        <w:tc>
          <w:tcPr>
            <w:tcW w:w="700" w:type="dxa"/>
            <w:tcMar>
              <w:top w:w="0" w:type="dxa"/>
              <w:bottom w:w="0" w:type="dxa"/>
            </w:tcMar>
            <w:vAlign w:val="center"/>
          </w:tcPr>
          <w:p w:rsidR="002446FF" w:rsidRDefault="00000000">
            <w:pPr>
              <w:keepNext/>
              <w:keepLines/>
              <w:spacing w:after="0" w:line="240" w:lineRule="auto"/>
            </w:pPr>
            <w:r>
              <w:rPr>
                <w:sz w:val="18"/>
              </w:rPr>
              <w:t>6414</w:t>
            </w:r>
          </w:p>
        </w:tc>
        <w:tc>
          <w:tcPr>
            <w:tcW w:w="1860" w:type="dxa"/>
            <w:tcMar>
              <w:top w:w="0" w:type="dxa"/>
              <w:bottom w:w="0" w:type="dxa"/>
            </w:tcMar>
            <w:vAlign w:val="center"/>
          </w:tcPr>
          <w:p w:rsidR="002446FF" w:rsidRDefault="00000000">
            <w:pPr>
              <w:keepNext/>
              <w:keepLines/>
              <w:spacing w:after="0" w:line="240" w:lineRule="auto"/>
              <w:jc w:val="right"/>
            </w:pPr>
            <w:r>
              <w:rPr>
                <w:sz w:val="18"/>
              </w:rPr>
              <w:t>26,30</w:t>
            </w:r>
          </w:p>
        </w:tc>
        <w:tc>
          <w:tcPr>
            <w:tcW w:w="1860" w:type="dxa"/>
            <w:tcMar>
              <w:top w:w="0" w:type="dxa"/>
              <w:bottom w:w="0" w:type="dxa"/>
            </w:tcMar>
            <w:vAlign w:val="center"/>
          </w:tcPr>
          <w:p w:rsidR="002446FF" w:rsidRDefault="00000000">
            <w:pPr>
              <w:keepNext/>
              <w:keepLines/>
              <w:spacing w:after="0" w:line="240" w:lineRule="auto"/>
              <w:jc w:val="right"/>
            </w:pPr>
            <w:r>
              <w:rPr>
                <w:sz w:val="18"/>
              </w:rPr>
              <w:t>1.869,81</w:t>
            </w:r>
          </w:p>
        </w:tc>
        <w:tc>
          <w:tcPr>
            <w:tcW w:w="700" w:type="dxa"/>
            <w:tcMar>
              <w:top w:w="0" w:type="dxa"/>
              <w:bottom w:w="0" w:type="dxa"/>
            </w:tcMar>
            <w:vAlign w:val="center"/>
          </w:tcPr>
          <w:p w:rsidR="002446FF" w:rsidRDefault="00000000">
            <w:pPr>
              <w:keepNext/>
              <w:keepLines/>
              <w:spacing w:after="0" w:line="240" w:lineRule="auto"/>
              <w:jc w:val="right"/>
            </w:pPr>
            <w:r>
              <w:rPr>
                <w:sz w:val="18"/>
              </w:rPr>
              <w:t>7109,5</w:t>
            </w:r>
          </w:p>
        </w:tc>
      </w:tr>
    </w:tbl>
    <w:p w:rsidR="002446FF" w:rsidRDefault="002446FF">
      <w:pPr>
        <w:spacing w:after="0"/>
      </w:pPr>
    </w:p>
    <w:p w:rsidR="002446FF" w:rsidRDefault="00000000">
      <w:r>
        <w:t>Tijekom 2025. godine evidentirano povećanje odnosi se na ostvarene zatezne kamate za ovršena sredstva radi nenamjenskog trošenja dodijeljenih sredstava i zahtjeva za povratom istih.</w:t>
      </w:r>
    </w:p>
    <w:p w:rsidR="002446FF" w:rsidRDefault="002446FF"/>
    <w:p w:rsidR="002446FF" w:rsidRDefault="00000000">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6417</w:t>
            </w:r>
          </w:p>
        </w:tc>
        <w:tc>
          <w:tcPr>
            <w:tcW w:w="3180" w:type="dxa"/>
            <w:tcMar>
              <w:top w:w="0" w:type="dxa"/>
              <w:bottom w:w="0" w:type="dxa"/>
            </w:tcMar>
            <w:vAlign w:val="center"/>
          </w:tcPr>
          <w:p w:rsidR="002446FF" w:rsidRDefault="00000000">
            <w:pPr>
              <w:keepNext/>
              <w:keepLines/>
              <w:spacing w:after="0" w:line="240" w:lineRule="auto"/>
            </w:pPr>
            <w:r>
              <w:rPr>
                <w:sz w:val="18"/>
              </w:rPr>
              <w:t>Prihodi iz dobiti trgovačkih društava, kreditnih i ostalih financijskih institucija po posebnim propisima</w:t>
            </w:r>
          </w:p>
        </w:tc>
        <w:tc>
          <w:tcPr>
            <w:tcW w:w="700" w:type="dxa"/>
            <w:tcMar>
              <w:top w:w="0" w:type="dxa"/>
              <w:bottom w:w="0" w:type="dxa"/>
            </w:tcMar>
            <w:vAlign w:val="center"/>
          </w:tcPr>
          <w:p w:rsidR="002446FF" w:rsidRDefault="00000000">
            <w:pPr>
              <w:keepNext/>
              <w:keepLines/>
              <w:spacing w:after="0" w:line="240" w:lineRule="auto"/>
            </w:pPr>
            <w:r>
              <w:rPr>
                <w:sz w:val="18"/>
              </w:rPr>
              <w:t>6417</w:t>
            </w:r>
          </w:p>
        </w:tc>
        <w:tc>
          <w:tcPr>
            <w:tcW w:w="1860" w:type="dxa"/>
            <w:tcMar>
              <w:top w:w="0" w:type="dxa"/>
              <w:bottom w:w="0" w:type="dxa"/>
            </w:tcMar>
            <w:vAlign w:val="center"/>
          </w:tcPr>
          <w:p w:rsidR="002446FF" w:rsidRDefault="00000000">
            <w:pPr>
              <w:keepNext/>
              <w:keepLines/>
              <w:spacing w:after="0" w:line="240" w:lineRule="auto"/>
              <w:jc w:val="right"/>
            </w:pPr>
            <w:r>
              <w:rPr>
                <w:sz w:val="18"/>
              </w:rPr>
              <w:t>363.130,00</w:t>
            </w:r>
          </w:p>
        </w:tc>
        <w:tc>
          <w:tcPr>
            <w:tcW w:w="1860" w:type="dxa"/>
            <w:tcMar>
              <w:top w:w="0" w:type="dxa"/>
              <w:bottom w:w="0" w:type="dxa"/>
            </w:tcMar>
            <w:vAlign w:val="center"/>
          </w:tcPr>
          <w:p w:rsidR="002446FF" w:rsidRDefault="00000000">
            <w:pPr>
              <w:keepNext/>
              <w:keepLines/>
              <w:spacing w:after="0" w:line="240" w:lineRule="auto"/>
              <w:jc w:val="right"/>
            </w:pPr>
            <w:r>
              <w:rPr>
                <w:sz w:val="18"/>
              </w:rPr>
              <w:t>458.278,00</w:t>
            </w:r>
          </w:p>
        </w:tc>
        <w:tc>
          <w:tcPr>
            <w:tcW w:w="700" w:type="dxa"/>
            <w:tcMar>
              <w:top w:w="0" w:type="dxa"/>
              <w:bottom w:w="0" w:type="dxa"/>
            </w:tcMar>
            <w:vAlign w:val="center"/>
          </w:tcPr>
          <w:p w:rsidR="002446FF" w:rsidRDefault="00000000">
            <w:pPr>
              <w:keepNext/>
              <w:keepLines/>
              <w:spacing w:after="0" w:line="240" w:lineRule="auto"/>
              <w:jc w:val="right"/>
            </w:pPr>
            <w:r>
              <w:rPr>
                <w:sz w:val="18"/>
              </w:rPr>
              <w:t>126,2</w:t>
            </w:r>
          </w:p>
        </w:tc>
      </w:tr>
    </w:tbl>
    <w:p w:rsidR="002446FF" w:rsidRDefault="002446FF">
      <w:pPr>
        <w:spacing w:after="0"/>
      </w:pPr>
    </w:p>
    <w:p w:rsidR="002446FF" w:rsidRDefault="00000000">
      <w:r>
        <w:t xml:space="preserve">Tijekom 2025. godine uplaćena je veća dobit Ljekarne Srce – Ljekarne Osječko-baranjske županije (2025. godine – 400.000,00 eura, 2024. godine - 266.000,00 eura) i </w:t>
      </w:r>
      <w:proofErr w:type="spellStart"/>
      <w:r>
        <w:t>Cestinga</w:t>
      </w:r>
      <w:proofErr w:type="spellEnd"/>
      <w:r>
        <w:t xml:space="preserve"> d.o.o. (2025. godine – 58.278,00 eura, 2024. godine – 97.130,00 eura).</w:t>
      </w:r>
    </w:p>
    <w:p w:rsidR="002446FF" w:rsidRDefault="002446FF"/>
    <w:p w:rsidR="002446FF" w:rsidRDefault="00000000">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6512</w:t>
            </w:r>
          </w:p>
        </w:tc>
        <w:tc>
          <w:tcPr>
            <w:tcW w:w="3180" w:type="dxa"/>
            <w:tcMar>
              <w:top w:w="0" w:type="dxa"/>
              <w:bottom w:w="0" w:type="dxa"/>
            </w:tcMar>
            <w:vAlign w:val="center"/>
          </w:tcPr>
          <w:p w:rsidR="002446FF" w:rsidRDefault="00000000">
            <w:pPr>
              <w:keepNext/>
              <w:keepLines/>
              <w:spacing w:after="0" w:line="240" w:lineRule="auto"/>
            </w:pPr>
            <w:r>
              <w:rPr>
                <w:sz w:val="18"/>
              </w:rPr>
              <w:t>Županijske, gradske i općinske pristojbe i naknade</w:t>
            </w:r>
          </w:p>
        </w:tc>
        <w:tc>
          <w:tcPr>
            <w:tcW w:w="700" w:type="dxa"/>
            <w:tcMar>
              <w:top w:w="0" w:type="dxa"/>
              <w:bottom w:w="0" w:type="dxa"/>
            </w:tcMar>
            <w:vAlign w:val="center"/>
          </w:tcPr>
          <w:p w:rsidR="002446FF" w:rsidRDefault="00000000">
            <w:pPr>
              <w:keepNext/>
              <w:keepLines/>
              <w:spacing w:after="0" w:line="240" w:lineRule="auto"/>
            </w:pPr>
            <w:r>
              <w:rPr>
                <w:sz w:val="18"/>
              </w:rPr>
              <w:t>6512</w:t>
            </w:r>
          </w:p>
        </w:tc>
        <w:tc>
          <w:tcPr>
            <w:tcW w:w="1860" w:type="dxa"/>
            <w:tcMar>
              <w:top w:w="0" w:type="dxa"/>
              <w:bottom w:w="0" w:type="dxa"/>
            </w:tcMar>
            <w:vAlign w:val="center"/>
          </w:tcPr>
          <w:p w:rsidR="002446FF" w:rsidRDefault="00000000">
            <w:pPr>
              <w:keepNext/>
              <w:keepLines/>
              <w:spacing w:after="0" w:line="240" w:lineRule="auto"/>
              <w:jc w:val="right"/>
            </w:pPr>
            <w:r>
              <w:rPr>
                <w:sz w:val="18"/>
              </w:rPr>
              <w:t>273.786,83</w:t>
            </w:r>
          </w:p>
        </w:tc>
        <w:tc>
          <w:tcPr>
            <w:tcW w:w="1860" w:type="dxa"/>
            <w:tcMar>
              <w:top w:w="0" w:type="dxa"/>
              <w:bottom w:w="0" w:type="dxa"/>
            </w:tcMar>
            <w:vAlign w:val="center"/>
          </w:tcPr>
          <w:p w:rsidR="002446FF" w:rsidRDefault="00000000">
            <w:pPr>
              <w:keepNext/>
              <w:keepLines/>
              <w:spacing w:after="0" w:line="240" w:lineRule="auto"/>
              <w:jc w:val="right"/>
            </w:pPr>
            <w:r>
              <w:rPr>
                <w:sz w:val="18"/>
              </w:rPr>
              <w:t>347.490,78</w:t>
            </w:r>
          </w:p>
        </w:tc>
        <w:tc>
          <w:tcPr>
            <w:tcW w:w="700" w:type="dxa"/>
            <w:tcMar>
              <w:top w:w="0" w:type="dxa"/>
              <w:bottom w:w="0" w:type="dxa"/>
            </w:tcMar>
            <w:vAlign w:val="center"/>
          </w:tcPr>
          <w:p w:rsidR="002446FF" w:rsidRDefault="00000000">
            <w:pPr>
              <w:keepNext/>
              <w:keepLines/>
              <w:spacing w:after="0" w:line="240" w:lineRule="auto"/>
              <w:jc w:val="right"/>
            </w:pPr>
            <w:r>
              <w:rPr>
                <w:sz w:val="18"/>
              </w:rPr>
              <w:t>126,9</w:t>
            </w:r>
          </w:p>
        </w:tc>
      </w:tr>
    </w:tbl>
    <w:p w:rsidR="002446FF" w:rsidRDefault="002446FF">
      <w:pPr>
        <w:spacing w:after="0"/>
      </w:pPr>
    </w:p>
    <w:p w:rsidR="002446FF" w:rsidRDefault="00000000">
      <w:r>
        <w:t>2025. godine ostvareno je više prihoda u odnosu na 2024. godinu, najvećim dijelom za županijske upravne pristojbe za izdavanje građevinske dozvole (2025. godine –310.566,36 eura, 2024. godine –236.515,70 eura).</w:t>
      </w:r>
    </w:p>
    <w:p w:rsidR="002446FF" w:rsidRDefault="002446FF"/>
    <w:p w:rsidR="002446FF" w:rsidRDefault="00000000">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6513</w:t>
            </w:r>
          </w:p>
        </w:tc>
        <w:tc>
          <w:tcPr>
            <w:tcW w:w="3180" w:type="dxa"/>
            <w:tcMar>
              <w:top w:w="0" w:type="dxa"/>
              <w:bottom w:w="0" w:type="dxa"/>
            </w:tcMar>
            <w:vAlign w:val="center"/>
          </w:tcPr>
          <w:p w:rsidR="002446FF" w:rsidRDefault="00000000">
            <w:pPr>
              <w:keepNext/>
              <w:keepLines/>
              <w:spacing w:after="0" w:line="240" w:lineRule="auto"/>
            </w:pPr>
            <w:r>
              <w:rPr>
                <w:sz w:val="18"/>
              </w:rPr>
              <w:t>Ostale upravne pristojbe i naknade</w:t>
            </w:r>
          </w:p>
        </w:tc>
        <w:tc>
          <w:tcPr>
            <w:tcW w:w="700" w:type="dxa"/>
            <w:tcMar>
              <w:top w:w="0" w:type="dxa"/>
              <w:bottom w:w="0" w:type="dxa"/>
            </w:tcMar>
            <w:vAlign w:val="center"/>
          </w:tcPr>
          <w:p w:rsidR="002446FF" w:rsidRDefault="00000000">
            <w:pPr>
              <w:keepNext/>
              <w:keepLines/>
              <w:spacing w:after="0" w:line="240" w:lineRule="auto"/>
            </w:pPr>
            <w:r>
              <w:rPr>
                <w:sz w:val="18"/>
              </w:rPr>
              <w:t>6513</w:t>
            </w:r>
          </w:p>
        </w:tc>
        <w:tc>
          <w:tcPr>
            <w:tcW w:w="1860" w:type="dxa"/>
            <w:tcMar>
              <w:top w:w="0" w:type="dxa"/>
              <w:bottom w:w="0" w:type="dxa"/>
            </w:tcMar>
            <w:vAlign w:val="center"/>
          </w:tcPr>
          <w:p w:rsidR="002446FF" w:rsidRDefault="00000000">
            <w:pPr>
              <w:keepNext/>
              <w:keepLines/>
              <w:spacing w:after="0" w:line="240" w:lineRule="auto"/>
              <w:jc w:val="right"/>
            </w:pPr>
            <w:r>
              <w:rPr>
                <w:sz w:val="18"/>
              </w:rPr>
              <w:t>38.487,62</w:t>
            </w:r>
          </w:p>
        </w:tc>
        <w:tc>
          <w:tcPr>
            <w:tcW w:w="1860" w:type="dxa"/>
            <w:tcMar>
              <w:top w:w="0" w:type="dxa"/>
              <w:bottom w:w="0" w:type="dxa"/>
            </w:tcMar>
            <w:vAlign w:val="center"/>
          </w:tcPr>
          <w:p w:rsidR="002446FF" w:rsidRDefault="00000000">
            <w:pPr>
              <w:keepNext/>
              <w:keepLines/>
              <w:spacing w:after="0" w:line="240" w:lineRule="auto"/>
              <w:jc w:val="right"/>
            </w:pPr>
            <w:r>
              <w:rPr>
                <w:sz w:val="18"/>
              </w:rPr>
              <w:t>18.188,41</w:t>
            </w:r>
          </w:p>
        </w:tc>
        <w:tc>
          <w:tcPr>
            <w:tcW w:w="700" w:type="dxa"/>
            <w:tcMar>
              <w:top w:w="0" w:type="dxa"/>
              <w:bottom w:w="0" w:type="dxa"/>
            </w:tcMar>
            <w:vAlign w:val="center"/>
          </w:tcPr>
          <w:p w:rsidR="002446FF" w:rsidRDefault="00000000">
            <w:pPr>
              <w:keepNext/>
              <w:keepLines/>
              <w:spacing w:after="0" w:line="240" w:lineRule="auto"/>
              <w:jc w:val="right"/>
            </w:pPr>
            <w:r>
              <w:rPr>
                <w:sz w:val="18"/>
              </w:rPr>
              <w:t>47,3</w:t>
            </w:r>
          </w:p>
        </w:tc>
      </w:tr>
    </w:tbl>
    <w:p w:rsidR="002446FF" w:rsidRDefault="002446FF">
      <w:pPr>
        <w:spacing w:after="0"/>
      </w:pPr>
    </w:p>
    <w:p w:rsidR="002446FF" w:rsidRDefault="00000000">
      <w:r>
        <w:t>Na ovoj vrsti prihoda evidentira se prihod od prodaje državnih biljega na čije se ostvarenje ne može utjecati.</w:t>
      </w:r>
    </w:p>
    <w:p w:rsidR="002446FF" w:rsidRDefault="002446FF"/>
    <w:p w:rsidR="002446FF" w:rsidRDefault="00000000">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6514</w:t>
            </w:r>
          </w:p>
        </w:tc>
        <w:tc>
          <w:tcPr>
            <w:tcW w:w="3180" w:type="dxa"/>
            <w:tcMar>
              <w:top w:w="0" w:type="dxa"/>
              <w:bottom w:w="0" w:type="dxa"/>
            </w:tcMar>
            <w:vAlign w:val="center"/>
          </w:tcPr>
          <w:p w:rsidR="002446FF" w:rsidRDefault="00000000">
            <w:pPr>
              <w:keepNext/>
              <w:keepLines/>
              <w:spacing w:after="0" w:line="240" w:lineRule="auto"/>
            </w:pPr>
            <w:r>
              <w:rPr>
                <w:sz w:val="18"/>
              </w:rPr>
              <w:t>Ostale pristojbe i naknade</w:t>
            </w:r>
          </w:p>
        </w:tc>
        <w:tc>
          <w:tcPr>
            <w:tcW w:w="700" w:type="dxa"/>
            <w:tcMar>
              <w:top w:w="0" w:type="dxa"/>
              <w:bottom w:w="0" w:type="dxa"/>
            </w:tcMar>
            <w:vAlign w:val="center"/>
          </w:tcPr>
          <w:p w:rsidR="002446FF" w:rsidRDefault="00000000">
            <w:pPr>
              <w:keepNext/>
              <w:keepLines/>
              <w:spacing w:after="0" w:line="240" w:lineRule="auto"/>
            </w:pPr>
            <w:r>
              <w:rPr>
                <w:sz w:val="18"/>
              </w:rPr>
              <w:t>6514</w:t>
            </w:r>
          </w:p>
        </w:tc>
        <w:tc>
          <w:tcPr>
            <w:tcW w:w="1860" w:type="dxa"/>
            <w:tcMar>
              <w:top w:w="0" w:type="dxa"/>
              <w:bottom w:w="0" w:type="dxa"/>
            </w:tcMar>
            <w:vAlign w:val="center"/>
          </w:tcPr>
          <w:p w:rsidR="002446FF" w:rsidRDefault="00000000">
            <w:pPr>
              <w:keepNext/>
              <w:keepLines/>
              <w:spacing w:after="0" w:line="240" w:lineRule="auto"/>
              <w:jc w:val="right"/>
            </w:pPr>
            <w:r>
              <w:rPr>
                <w:sz w:val="18"/>
              </w:rPr>
              <w:t>38.859,12</w:t>
            </w:r>
          </w:p>
        </w:tc>
        <w:tc>
          <w:tcPr>
            <w:tcW w:w="1860" w:type="dxa"/>
            <w:tcMar>
              <w:top w:w="0" w:type="dxa"/>
              <w:bottom w:w="0" w:type="dxa"/>
            </w:tcMar>
            <w:vAlign w:val="center"/>
          </w:tcPr>
          <w:p w:rsidR="002446FF" w:rsidRDefault="00000000">
            <w:pPr>
              <w:keepNext/>
              <w:keepLines/>
              <w:spacing w:after="0" w:line="240" w:lineRule="auto"/>
              <w:jc w:val="right"/>
            </w:pPr>
            <w:r>
              <w:rPr>
                <w:sz w:val="18"/>
              </w:rPr>
              <w:t>15.637,96</w:t>
            </w:r>
          </w:p>
        </w:tc>
        <w:tc>
          <w:tcPr>
            <w:tcW w:w="700" w:type="dxa"/>
            <w:tcMar>
              <w:top w:w="0" w:type="dxa"/>
              <w:bottom w:w="0" w:type="dxa"/>
            </w:tcMar>
            <w:vAlign w:val="center"/>
          </w:tcPr>
          <w:p w:rsidR="002446FF" w:rsidRDefault="00000000">
            <w:pPr>
              <w:keepNext/>
              <w:keepLines/>
              <w:spacing w:after="0" w:line="240" w:lineRule="auto"/>
              <w:jc w:val="right"/>
            </w:pPr>
            <w:r>
              <w:rPr>
                <w:sz w:val="18"/>
              </w:rPr>
              <w:t>40,2</w:t>
            </w:r>
          </w:p>
        </w:tc>
      </w:tr>
    </w:tbl>
    <w:p w:rsidR="002446FF" w:rsidRDefault="002446FF">
      <w:pPr>
        <w:spacing w:after="0"/>
      </w:pPr>
    </w:p>
    <w:p w:rsidR="002446FF" w:rsidRDefault="00000000">
      <w:r>
        <w:t>Na ovoj vrsti prihoda evidentiraju se naknade za postupke ovrhe i naknade za promjenu namjene poljoprivrednog u građevinsko zemljište. Manje ostvareni prihod 2025. godine se odnosi na naknadu za promjenu namjene poljoprivrednog zemljišta u građevinsko (2025. godine –15.584,42 eura, 2024. godine –38.320,04 eura).</w:t>
      </w:r>
    </w:p>
    <w:p w:rsidR="002446FF" w:rsidRDefault="002446FF"/>
    <w:p w:rsidR="002446FF" w:rsidRDefault="00000000">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6526</w:t>
            </w:r>
          </w:p>
        </w:tc>
        <w:tc>
          <w:tcPr>
            <w:tcW w:w="3180" w:type="dxa"/>
            <w:tcMar>
              <w:top w:w="0" w:type="dxa"/>
              <w:bottom w:w="0" w:type="dxa"/>
            </w:tcMar>
            <w:vAlign w:val="center"/>
          </w:tcPr>
          <w:p w:rsidR="002446FF" w:rsidRDefault="00000000">
            <w:pPr>
              <w:keepNext/>
              <w:keepLines/>
              <w:spacing w:after="0" w:line="240" w:lineRule="auto"/>
            </w:pPr>
            <w:r>
              <w:rPr>
                <w:sz w:val="18"/>
              </w:rPr>
              <w:t>Ostali nespomenuti prihodi</w:t>
            </w:r>
          </w:p>
        </w:tc>
        <w:tc>
          <w:tcPr>
            <w:tcW w:w="700" w:type="dxa"/>
            <w:tcMar>
              <w:top w:w="0" w:type="dxa"/>
              <w:bottom w:w="0" w:type="dxa"/>
            </w:tcMar>
            <w:vAlign w:val="center"/>
          </w:tcPr>
          <w:p w:rsidR="002446FF" w:rsidRDefault="00000000">
            <w:pPr>
              <w:keepNext/>
              <w:keepLines/>
              <w:spacing w:after="0" w:line="240" w:lineRule="auto"/>
            </w:pPr>
            <w:r>
              <w:rPr>
                <w:sz w:val="18"/>
              </w:rPr>
              <w:t>6526</w:t>
            </w:r>
          </w:p>
        </w:tc>
        <w:tc>
          <w:tcPr>
            <w:tcW w:w="1860" w:type="dxa"/>
            <w:tcMar>
              <w:top w:w="0" w:type="dxa"/>
              <w:bottom w:w="0" w:type="dxa"/>
            </w:tcMar>
            <w:vAlign w:val="center"/>
          </w:tcPr>
          <w:p w:rsidR="002446FF" w:rsidRDefault="00000000">
            <w:pPr>
              <w:keepNext/>
              <w:keepLines/>
              <w:spacing w:after="0" w:line="240" w:lineRule="auto"/>
              <w:jc w:val="right"/>
            </w:pPr>
            <w:r>
              <w:rPr>
                <w:sz w:val="18"/>
              </w:rPr>
              <w:t>95.340,04</w:t>
            </w:r>
          </w:p>
        </w:tc>
        <w:tc>
          <w:tcPr>
            <w:tcW w:w="1860" w:type="dxa"/>
            <w:tcMar>
              <w:top w:w="0" w:type="dxa"/>
              <w:bottom w:w="0" w:type="dxa"/>
            </w:tcMar>
            <w:vAlign w:val="center"/>
          </w:tcPr>
          <w:p w:rsidR="002446FF" w:rsidRDefault="00000000">
            <w:pPr>
              <w:keepNext/>
              <w:keepLines/>
              <w:spacing w:after="0" w:line="240" w:lineRule="auto"/>
              <w:jc w:val="right"/>
            </w:pPr>
            <w:r>
              <w:rPr>
                <w:sz w:val="18"/>
              </w:rPr>
              <w:t>312.697,09</w:t>
            </w:r>
          </w:p>
        </w:tc>
        <w:tc>
          <w:tcPr>
            <w:tcW w:w="700" w:type="dxa"/>
            <w:tcMar>
              <w:top w:w="0" w:type="dxa"/>
              <w:bottom w:w="0" w:type="dxa"/>
            </w:tcMar>
            <w:vAlign w:val="center"/>
          </w:tcPr>
          <w:p w:rsidR="002446FF" w:rsidRDefault="00000000">
            <w:pPr>
              <w:keepNext/>
              <w:keepLines/>
              <w:spacing w:after="0" w:line="240" w:lineRule="auto"/>
              <w:jc w:val="right"/>
            </w:pPr>
            <w:r>
              <w:rPr>
                <w:sz w:val="18"/>
              </w:rPr>
              <w:t>328,0</w:t>
            </w:r>
          </w:p>
        </w:tc>
      </w:tr>
    </w:tbl>
    <w:p w:rsidR="002446FF" w:rsidRDefault="002446FF">
      <w:pPr>
        <w:spacing w:after="0"/>
      </w:pPr>
    </w:p>
    <w:p w:rsidR="002446FF" w:rsidRDefault="00000000">
      <w:r>
        <w:lastRenderedPageBreak/>
        <w:t>Tijekom 2025. godine evidentirano povećanje odnosi se na refundaciju zajedničkih materijalnih troškova jer je promijenjen način evidentiranja. Za razliku od prethodne godine kada su se potraživanja i uplate evidentirale samo putem računa podskupine 129 - ostala potraživanja, sada se priznaju prihodi za uplaćena sredstva refundacija.</w:t>
      </w:r>
    </w:p>
    <w:p w:rsidR="002446FF" w:rsidRDefault="002446FF"/>
    <w:p w:rsidR="002446FF" w:rsidRDefault="00000000">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6614</w:t>
            </w:r>
          </w:p>
        </w:tc>
        <w:tc>
          <w:tcPr>
            <w:tcW w:w="3180" w:type="dxa"/>
            <w:tcMar>
              <w:top w:w="0" w:type="dxa"/>
              <w:bottom w:w="0" w:type="dxa"/>
            </w:tcMar>
            <w:vAlign w:val="center"/>
          </w:tcPr>
          <w:p w:rsidR="002446FF" w:rsidRDefault="00000000">
            <w:pPr>
              <w:keepNext/>
              <w:keepLines/>
              <w:spacing w:after="0" w:line="240" w:lineRule="auto"/>
            </w:pPr>
            <w:r>
              <w:rPr>
                <w:sz w:val="18"/>
              </w:rPr>
              <w:t>Prihodi od prodaje proizvoda i robe</w:t>
            </w:r>
          </w:p>
        </w:tc>
        <w:tc>
          <w:tcPr>
            <w:tcW w:w="700" w:type="dxa"/>
            <w:tcMar>
              <w:top w:w="0" w:type="dxa"/>
              <w:bottom w:w="0" w:type="dxa"/>
            </w:tcMar>
            <w:vAlign w:val="center"/>
          </w:tcPr>
          <w:p w:rsidR="002446FF" w:rsidRDefault="00000000">
            <w:pPr>
              <w:keepNext/>
              <w:keepLines/>
              <w:spacing w:after="0" w:line="240" w:lineRule="auto"/>
            </w:pPr>
            <w:r>
              <w:rPr>
                <w:sz w:val="18"/>
              </w:rPr>
              <w:t>6614</w:t>
            </w:r>
          </w:p>
        </w:tc>
        <w:tc>
          <w:tcPr>
            <w:tcW w:w="1860" w:type="dxa"/>
            <w:tcMar>
              <w:top w:w="0" w:type="dxa"/>
              <w:bottom w:w="0" w:type="dxa"/>
            </w:tcMar>
            <w:vAlign w:val="center"/>
          </w:tcPr>
          <w:p w:rsidR="002446FF" w:rsidRDefault="00000000">
            <w:pPr>
              <w:keepNext/>
              <w:keepLines/>
              <w:spacing w:after="0" w:line="240" w:lineRule="auto"/>
              <w:jc w:val="right"/>
            </w:pPr>
            <w:r>
              <w:rPr>
                <w:sz w:val="18"/>
              </w:rPr>
              <w:t>5.440,67</w:t>
            </w:r>
          </w:p>
        </w:tc>
        <w:tc>
          <w:tcPr>
            <w:tcW w:w="1860" w:type="dxa"/>
            <w:tcMar>
              <w:top w:w="0" w:type="dxa"/>
              <w:bottom w:w="0" w:type="dxa"/>
            </w:tcMar>
            <w:vAlign w:val="center"/>
          </w:tcPr>
          <w:p w:rsidR="002446FF" w:rsidRDefault="00000000">
            <w:pPr>
              <w:keepNext/>
              <w:keepLines/>
              <w:spacing w:after="0" w:line="240" w:lineRule="auto"/>
              <w:jc w:val="right"/>
            </w:pPr>
            <w:r>
              <w:rPr>
                <w:sz w:val="18"/>
              </w:rPr>
              <w:t>8.637,88</w:t>
            </w:r>
          </w:p>
        </w:tc>
        <w:tc>
          <w:tcPr>
            <w:tcW w:w="700" w:type="dxa"/>
            <w:tcMar>
              <w:top w:w="0" w:type="dxa"/>
              <w:bottom w:w="0" w:type="dxa"/>
            </w:tcMar>
            <w:vAlign w:val="center"/>
          </w:tcPr>
          <w:p w:rsidR="002446FF" w:rsidRDefault="00000000">
            <w:pPr>
              <w:keepNext/>
              <w:keepLines/>
              <w:spacing w:after="0" w:line="240" w:lineRule="auto"/>
              <w:jc w:val="right"/>
            </w:pPr>
            <w:r>
              <w:rPr>
                <w:sz w:val="18"/>
              </w:rPr>
              <w:t>158,8</w:t>
            </w:r>
          </w:p>
        </w:tc>
      </w:tr>
    </w:tbl>
    <w:p w:rsidR="002446FF" w:rsidRDefault="002446FF">
      <w:pPr>
        <w:spacing w:after="0"/>
      </w:pPr>
    </w:p>
    <w:p w:rsidR="002446FF" w:rsidRDefault="00000000">
      <w:r>
        <w:t>Tijekom 2025. godine ostvareno je više prihoda koji se odnose na isporuku električne energije koja se proizvede na solarnoj elektrani Regionalnog distribucijskog centra Osječko-baranjske županije za voće i povrće d.o.o. Osijek (2024. godine – 5.440,67 eura, 2025. godine – 8.318,88 eura).</w:t>
      </w:r>
    </w:p>
    <w:p w:rsidR="002446FF" w:rsidRDefault="002446FF"/>
    <w:p w:rsidR="002446FF" w:rsidRDefault="00000000">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31</w:t>
            </w:r>
          </w:p>
        </w:tc>
        <w:tc>
          <w:tcPr>
            <w:tcW w:w="3180" w:type="dxa"/>
            <w:tcMar>
              <w:top w:w="0" w:type="dxa"/>
              <w:bottom w:w="0" w:type="dxa"/>
            </w:tcMar>
            <w:vAlign w:val="center"/>
          </w:tcPr>
          <w:p w:rsidR="002446FF" w:rsidRDefault="00000000">
            <w:pPr>
              <w:keepNext/>
              <w:keepLines/>
              <w:spacing w:after="0" w:line="240" w:lineRule="auto"/>
            </w:pPr>
            <w:r>
              <w:rPr>
                <w:sz w:val="18"/>
              </w:rPr>
              <w:t>Rashodi za zaposlene (šifre 311+312+313)</w:t>
            </w:r>
          </w:p>
        </w:tc>
        <w:tc>
          <w:tcPr>
            <w:tcW w:w="700" w:type="dxa"/>
            <w:tcMar>
              <w:top w:w="0" w:type="dxa"/>
              <w:bottom w:w="0" w:type="dxa"/>
            </w:tcMar>
            <w:vAlign w:val="center"/>
          </w:tcPr>
          <w:p w:rsidR="002446FF" w:rsidRDefault="00000000">
            <w:pPr>
              <w:keepNext/>
              <w:keepLines/>
              <w:spacing w:after="0" w:line="240" w:lineRule="auto"/>
            </w:pPr>
            <w:r>
              <w:rPr>
                <w:sz w:val="18"/>
              </w:rPr>
              <w:t>31</w:t>
            </w:r>
          </w:p>
        </w:tc>
        <w:tc>
          <w:tcPr>
            <w:tcW w:w="1860" w:type="dxa"/>
            <w:tcMar>
              <w:top w:w="0" w:type="dxa"/>
              <w:bottom w:w="0" w:type="dxa"/>
            </w:tcMar>
            <w:vAlign w:val="center"/>
          </w:tcPr>
          <w:p w:rsidR="002446FF" w:rsidRDefault="00000000">
            <w:pPr>
              <w:keepNext/>
              <w:keepLines/>
              <w:spacing w:after="0" w:line="240" w:lineRule="auto"/>
              <w:jc w:val="right"/>
            </w:pPr>
            <w:r>
              <w:rPr>
                <w:sz w:val="18"/>
              </w:rPr>
              <w:t>10.802.224,86</w:t>
            </w:r>
          </w:p>
        </w:tc>
        <w:tc>
          <w:tcPr>
            <w:tcW w:w="1860" w:type="dxa"/>
            <w:tcMar>
              <w:top w:w="0" w:type="dxa"/>
              <w:bottom w:w="0" w:type="dxa"/>
            </w:tcMar>
            <w:vAlign w:val="center"/>
          </w:tcPr>
          <w:p w:rsidR="002446FF" w:rsidRDefault="00000000">
            <w:pPr>
              <w:keepNext/>
              <w:keepLines/>
              <w:spacing w:after="0" w:line="240" w:lineRule="auto"/>
              <w:jc w:val="right"/>
            </w:pPr>
            <w:r>
              <w:rPr>
                <w:sz w:val="18"/>
              </w:rPr>
              <w:t>13.245.208,92</w:t>
            </w:r>
          </w:p>
        </w:tc>
        <w:tc>
          <w:tcPr>
            <w:tcW w:w="700" w:type="dxa"/>
            <w:tcMar>
              <w:top w:w="0" w:type="dxa"/>
              <w:bottom w:w="0" w:type="dxa"/>
            </w:tcMar>
            <w:vAlign w:val="center"/>
          </w:tcPr>
          <w:p w:rsidR="002446FF" w:rsidRDefault="00000000">
            <w:pPr>
              <w:keepNext/>
              <w:keepLines/>
              <w:spacing w:after="0" w:line="240" w:lineRule="auto"/>
              <w:jc w:val="right"/>
            </w:pPr>
            <w:r>
              <w:rPr>
                <w:sz w:val="18"/>
              </w:rPr>
              <w:t>122,6</w:t>
            </w:r>
          </w:p>
        </w:tc>
      </w:tr>
    </w:tbl>
    <w:p w:rsidR="002446FF" w:rsidRDefault="002446FF">
      <w:pPr>
        <w:spacing w:after="0"/>
      </w:pPr>
    </w:p>
    <w:p w:rsidR="002446FF" w:rsidRDefault="00000000">
      <w:r>
        <w:t>Povećanje ove vrste rashoda odnosi se na povećanje materijalnih prava radnika. Obzirom na inflatorne učinke i povećanje troškova života, u prosincu 2024. godine povećana je osnovica za obračun plaće službenika i namještenika u upravnim tijelima Osječko-baranjske županije.</w:t>
      </w:r>
    </w:p>
    <w:p w:rsidR="002446FF" w:rsidRDefault="002446FF"/>
    <w:p w:rsidR="002446FF" w:rsidRDefault="00000000">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3113</w:t>
            </w:r>
          </w:p>
        </w:tc>
        <w:tc>
          <w:tcPr>
            <w:tcW w:w="3180" w:type="dxa"/>
            <w:tcMar>
              <w:top w:w="0" w:type="dxa"/>
              <w:bottom w:w="0" w:type="dxa"/>
            </w:tcMar>
            <w:vAlign w:val="center"/>
          </w:tcPr>
          <w:p w:rsidR="002446FF" w:rsidRDefault="00000000">
            <w:pPr>
              <w:keepNext/>
              <w:keepLines/>
              <w:spacing w:after="0" w:line="240" w:lineRule="auto"/>
            </w:pPr>
            <w:r>
              <w:rPr>
                <w:sz w:val="18"/>
              </w:rPr>
              <w:t>Plaće za prekovremeni rad</w:t>
            </w:r>
          </w:p>
        </w:tc>
        <w:tc>
          <w:tcPr>
            <w:tcW w:w="700" w:type="dxa"/>
            <w:tcMar>
              <w:top w:w="0" w:type="dxa"/>
              <w:bottom w:w="0" w:type="dxa"/>
            </w:tcMar>
            <w:vAlign w:val="center"/>
          </w:tcPr>
          <w:p w:rsidR="002446FF" w:rsidRDefault="00000000">
            <w:pPr>
              <w:keepNext/>
              <w:keepLines/>
              <w:spacing w:after="0" w:line="240" w:lineRule="auto"/>
            </w:pPr>
            <w:r>
              <w:rPr>
                <w:sz w:val="18"/>
              </w:rPr>
              <w:t>3113</w:t>
            </w:r>
          </w:p>
        </w:tc>
        <w:tc>
          <w:tcPr>
            <w:tcW w:w="1860" w:type="dxa"/>
            <w:tcMar>
              <w:top w:w="0" w:type="dxa"/>
              <w:bottom w:w="0" w:type="dxa"/>
            </w:tcMar>
            <w:vAlign w:val="center"/>
          </w:tcPr>
          <w:p w:rsidR="002446FF" w:rsidRDefault="00000000">
            <w:pPr>
              <w:keepNext/>
              <w:keepLines/>
              <w:spacing w:after="0" w:line="240" w:lineRule="auto"/>
              <w:jc w:val="right"/>
            </w:pPr>
            <w:r>
              <w:rPr>
                <w:sz w:val="18"/>
              </w:rPr>
              <w:t>21.701,21</w:t>
            </w:r>
          </w:p>
        </w:tc>
        <w:tc>
          <w:tcPr>
            <w:tcW w:w="1860" w:type="dxa"/>
            <w:tcMar>
              <w:top w:w="0" w:type="dxa"/>
              <w:bottom w:w="0" w:type="dxa"/>
            </w:tcMar>
            <w:vAlign w:val="center"/>
          </w:tcPr>
          <w:p w:rsidR="002446FF" w:rsidRDefault="00000000">
            <w:pPr>
              <w:keepNext/>
              <w:keepLines/>
              <w:spacing w:after="0" w:line="240" w:lineRule="auto"/>
              <w:jc w:val="right"/>
            </w:pPr>
            <w:r>
              <w:rPr>
                <w:sz w:val="18"/>
              </w:rPr>
              <w:t>57.101,66</w:t>
            </w:r>
          </w:p>
        </w:tc>
        <w:tc>
          <w:tcPr>
            <w:tcW w:w="700" w:type="dxa"/>
            <w:tcMar>
              <w:top w:w="0" w:type="dxa"/>
              <w:bottom w:w="0" w:type="dxa"/>
            </w:tcMar>
            <w:vAlign w:val="center"/>
          </w:tcPr>
          <w:p w:rsidR="002446FF" w:rsidRDefault="00000000">
            <w:pPr>
              <w:keepNext/>
              <w:keepLines/>
              <w:spacing w:after="0" w:line="240" w:lineRule="auto"/>
              <w:jc w:val="right"/>
            </w:pPr>
            <w:r>
              <w:rPr>
                <w:sz w:val="18"/>
              </w:rPr>
              <w:t>263,1</w:t>
            </w:r>
          </w:p>
        </w:tc>
      </w:tr>
    </w:tbl>
    <w:p w:rsidR="002446FF" w:rsidRDefault="002446FF">
      <w:pPr>
        <w:spacing w:after="0"/>
      </w:pPr>
    </w:p>
    <w:p w:rsidR="002446FF" w:rsidRDefault="00000000">
      <w:r>
        <w:t>Povećanje ove vrste rashoda nastalo je uslijed potrebe obavljanja poslova za potrebe provedbe lokalnih izbora 2025. godine.</w:t>
      </w:r>
    </w:p>
    <w:p w:rsidR="002446FF" w:rsidRDefault="002446FF"/>
    <w:p w:rsidR="002446FF" w:rsidRDefault="00000000">
      <w:pPr>
        <w:keepNext/>
        <w:spacing w:line="240" w:lineRule="auto"/>
        <w:jc w:val="center"/>
      </w:pPr>
      <w:r>
        <w:rPr>
          <w:sz w:val="28"/>
        </w:rPr>
        <w:lastRenderedPageBreak/>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312</w:t>
            </w:r>
          </w:p>
        </w:tc>
        <w:tc>
          <w:tcPr>
            <w:tcW w:w="3180" w:type="dxa"/>
            <w:tcMar>
              <w:top w:w="0" w:type="dxa"/>
              <w:bottom w:w="0" w:type="dxa"/>
            </w:tcMar>
            <w:vAlign w:val="center"/>
          </w:tcPr>
          <w:p w:rsidR="002446FF" w:rsidRDefault="00000000">
            <w:pPr>
              <w:keepNext/>
              <w:keepLines/>
              <w:spacing w:after="0" w:line="240" w:lineRule="auto"/>
            </w:pPr>
            <w:r>
              <w:rPr>
                <w:sz w:val="18"/>
              </w:rPr>
              <w:t>Ostali rashodi za zaposlene</w:t>
            </w:r>
          </w:p>
        </w:tc>
        <w:tc>
          <w:tcPr>
            <w:tcW w:w="700" w:type="dxa"/>
            <w:tcMar>
              <w:top w:w="0" w:type="dxa"/>
              <w:bottom w:w="0" w:type="dxa"/>
            </w:tcMar>
            <w:vAlign w:val="center"/>
          </w:tcPr>
          <w:p w:rsidR="002446FF" w:rsidRDefault="00000000">
            <w:pPr>
              <w:keepNext/>
              <w:keepLines/>
              <w:spacing w:after="0" w:line="240" w:lineRule="auto"/>
            </w:pPr>
            <w:r>
              <w:rPr>
                <w:sz w:val="18"/>
              </w:rPr>
              <w:t>312</w:t>
            </w:r>
          </w:p>
        </w:tc>
        <w:tc>
          <w:tcPr>
            <w:tcW w:w="1860" w:type="dxa"/>
            <w:tcMar>
              <w:top w:w="0" w:type="dxa"/>
              <w:bottom w:w="0" w:type="dxa"/>
            </w:tcMar>
            <w:vAlign w:val="center"/>
          </w:tcPr>
          <w:p w:rsidR="002446FF" w:rsidRDefault="00000000">
            <w:pPr>
              <w:keepNext/>
              <w:keepLines/>
              <w:spacing w:after="0" w:line="240" w:lineRule="auto"/>
              <w:jc w:val="right"/>
            </w:pPr>
            <w:r>
              <w:rPr>
                <w:sz w:val="18"/>
              </w:rPr>
              <w:t>1.545.146,70</w:t>
            </w:r>
          </w:p>
        </w:tc>
        <w:tc>
          <w:tcPr>
            <w:tcW w:w="1860" w:type="dxa"/>
            <w:tcMar>
              <w:top w:w="0" w:type="dxa"/>
              <w:bottom w:w="0" w:type="dxa"/>
            </w:tcMar>
            <w:vAlign w:val="center"/>
          </w:tcPr>
          <w:p w:rsidR="002446FF" w:rsidRDefault="00000000">
            <w:pPr>
              <w:keepNext/>
              <w:keepLines/>
              <w:spacing w:after="0" w:line="240" w:lineRule="auto"/>
              <w:jc w:val="right"/>
            </w:pPr>
            <w:r>
              <w:rPr>
                <w:sz w:val="18"/>
              </w:rPr>
              <w:t>2.333.807,21</w:t>
            </w:r>
          </w:p>
        </w:tc>
        <w:tc>
          <w:tcPr>
            <w:tcW w:w="700" w:type="dxa"/>
            <w:tcMar>
              <w:top w:w="0" w:type="dxa"/>
              <w:bottom w:w="0" w:type="dxa"/>
            </w:tcMar>
            <w:vAlign w:val="center"/>
          </w:tcPr>
          <w:p w:rsidR="002446FF" w:rsidRDefault="00000000">
            <w:pPr>
              <w:keepNext/>
              <w:keepLines/>
              <w:spacing w:after="0" w:line="240" w:lineRule="auto"/>
              <w:jc w:val="right"/>
            </w:pPr>
            <w:r>
              <w:rPr>
                <w:sz w:val="18"/>
              </w:rPr>
              <w:t>151,0</w:t>
            </w:r>
          </w:p>
        </w:tc>
      </w:tr>
    </w:tbl>
    <w:p w:rsidR="002446FF" w:rsidRDefault="002446FF">
      <w:pPr>
        <w:spacing w:after="0"/>
      </w:pPr>
    </w:p>
    <w:p w:rsidR="002446FF" w:rsidRDefault="00000000">
      <w:r>
        <w:t>Povećanje ove vrste rashoda odnosi se na isplaćene poticajne otpremnine (2024. godine – 147.054,96 eura, 2025. godine – 811.513,56 eura).</w:t>
      </w:r>
    </w:p>
    <w:p w:rsidR="002446FF" w:rsidRDefault="002446FF"/>
    <w:p w:rsidR="002446FF" w:rsidRDefault="00000000">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322</w:t>
            </w:r>
          </w:p>
        </w:tc>
        <w:tc>
          <w:tcPr>
            <w:tcW w:w="3180" w:type="dxa"/>
            <w:tcMar>
              <w:top w:w="0" w:type="dxa"/>
              <w:bottom w:w="0" w:type="dxa"/>
            </w:tcMar>
            <w:vAlign w:val="center"/>
          </w:tcPr>
          <w:p w:rsidR="002446FF" w:rsidRDefault="00000000">
            <w:pPr>
              <w:keepNext/>
              <w:keepLines/>
              <w:spacing w:after="0" w:line="240" w:lineRule="auto"/>
            </w:pPr>
            <w:r>
              <w:rPr>
                <w:sz w:val="18"/>
              </w:rPr>
              <w:t>Rashodi za materijal i energiju (šifre 3221 do 3227)</w:t>
            </w:r>
          </w:p>
        </w:tc>
        <w:tc>
          <w:tcPr>
            <w:tcW w:w="700" w:type="dxa"/>
            <w:tcMar>
              <w:top w:w="0" w:type="dxa"/>
              <w:bottom w:w="0" w:type="dxa"/>
            </w:tcMar>
            <w:vAlign w:val="center"/>
          </w:tcPr>
          <w:p w:rsidR="002446FF" w:rsidRDefault="00000000">
            <w:pPr>
              <w:keepNext/>
              <w:keepLines/>
              <w:spacing w:after="0" w:line="240" w:lineRule="auto"/>
            </w:pPr>
            <w:r>
              <w:rPr>
                <w:sz w:val="18"/>
              </w:rPr>
              <w:t>322</w:t>
            </w:r>
          </w:p>
        </w:tc>
        <w:tc>
          <w:tcPr>
            <w:tcW w:w="1860" w:type="dxa"/>
            <w:tcMar>
              <w:top w:w="0" w:type="dxa"/>
              <w:bottom w:w="0" w:type="dxa"/>
            </w:tcMar>
            <w:vAlign w:val="center"/>
          </w:tcPr>
          <w:p w:rsidR="002446FF" w:rsidRDefault="00000000">
            <w:pPr>
              <w:keepNext/>
              <w:keepLines/>
              <w:spacing w:after="0" w:line="240" w:lineRule="auto"/>
              <w:jc w:val="right"/>
            </w:pPr>
            <w:r>
              <w:rPr>
                <w:sz w:val="18"/>
              </w:rPr>
              <w:t>602.918,53</w:t>
            </w:r>
          </w:p>
        </w:tc>
        <w:tc>
          <w:tcPr>
            <w:tcW w:w="1860" w:type="dxa"/>
            <w:tcMar>
              <w:top w:w="0" w:type="dxa"/>
              <w:bottom w:w="0" w:type="dxa"/>
            </w:tcMar>
            <w:vAlign w:val="center"/>
          </w:tcPr>
          <w:p w:rsidR="002446FF" w:rsidRDefault="00000000">
            <w:pPr>
              <w:keepNext/>
              <w:keepLines/>
              <w:spacing w:after="0" w:line="240" w:lineRule="auto"/>
              <w:jc w:val="right"/>
            </w:pPr>
            <w:r>
              <w:rPr>
                <w:sz w:val="18"/>
              </w:rPr>
              <w:t>739.845,06</w:t>
            </w:r>
          </w:p>
        </w:tc>
        <w:tc>
          <w:tcPr>
            <w:tcW w:w="700" w:type="dxa"/>
            <w:tcMar>
              <w:top w:w="0" w:type="dxa"/>
              <w:bottom w:w="0" w:type="dxa"/>
            </w:tcMar>
            <w:vAlign w:val="center"/>
          </w:tcPr>
          <w:p w:rsidR="002446FF" w:rsidRDefault="00000000">
            <w:pPr>
              <w:keepNext/>
              <w:keepLines/>
              <w:spacing w:after="0" w:line="240" w:lineRule="auto"/>
              <w:jc w:val="right"/>
            </w:pPr>
            <w:r>
              <w:rPr>
                <w:sz w:val="18"/>
              </w:rPr>
              <w:t>122,7</w:t>
            </w:r>
          </w:p>
        </w:tc>
      </w:tr>
    </w:tbl>
    <w:p w:rsidR="002446FF" w:rsidRDefault="002446FF">
      <w:pPr>
        <w:spacing w:after="0"/>
      </w:pPr>
    </w:p>
    <w:p w:rsidR="002446FF" w:rsidRDefault="00000000">
      <w:r>
        <w:t>Povećanje ove vrste rashoda tijekom 2025. godine rezultat je povećanja cijena i inflatornih utjecaja te više nastalih rashoda za potrebe provedbe lokalnih izbora 2025. godine.</w:t>
      </w:r>
    </w:p>
    <w:p w:rsidR="002446FF" w:rsidRDefault="002446FF"/>
    <w:p w:rsidR="002446FF" w:rsidRDefault="00000000">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324</w:t>
            </w:r>
          </w:p>
        </w:tc>
        <w:tc>
          <w:tcPr>
            <w:tcW w:w="3180" w:type="dxa"/>
            <w:tcMar>
              <w:top w:w="0" w:type="dxa"/>
              <w:bottom w:w="0" w:type="dxa"/>
            </w:tcMar>
            <w:vAlign w:val="center"/>
          </w:tcPr>
          <w:p w:rsidR="002446FF" w:rsidRDefault="00000000">
            <w:pPr>
              <w:keepNext/>
              <w:keepLines/>
              <w:spacing w:after="0" w:line="240" w:lineRule="auto"/>
            </w:pPr>
            <w:r>
              <w:rPr>
                <w:sz w:val="18"/>
              </w:rPr>
              <w:t>Naknade troškova osobama izvan radnog odnosa</w:t>
            </w:r>
          </w:p>
        </w:tc>
        <w:tc>
          <w:tcPr>
            <w:tcW w:w="700" w:type="dxa"/>
            <w:tcMar>
              <w:top w:w="0" w:type="dxa"/>
              <w:bottom w:w="0" w:type="dxa"/>
            </w:tcMar>
            <w:vAlign w:val="center"/>
          </w:tcPr>
          <w:p w:rsidR="002446FF" w:rsidRDefault="00000000">
            <w:pPr>
              <w:keepNext/>
              <w:keepLines/>
              <w:spacing w:after="0" w:line="240" w:lineRule="auto"/>
            </w:pPr>
            <w:r>
              <w:rPr>
                <w:sz w:val="18"/>
              </w:rPr>
              <w:t>324</w:t>
            </w:r>
          </w:p>
        </w:tc>
        <w:tc>
          <w:tcPr>
            <w:tcW w:w="1860" w:type="dxa"/>
            <w:tcMar>
              <w:top w:w="0" w:type="dxa"/>
              <w:bottom w:w="0" w:type="dxa"/>
            </w:tcMar>
            <w:vAlign w:val="center"/>
          </w:tcPr>
          <w:p w:rsidR="002446FF" w:rsidRDefault="00000000">
            <w:pPr>
              <w:keepNext/>
              <w:keepLines/>
              <w:spacing w:after="0" w:line="240" w:lineRule="auto"/>
              <w:jc w:val="right"/>
            </w:pPr>
            <w:r>
              <w:rPr>
                <w:sz w:val="18"/>
              </w:rPr>
              <w:t>5.075,21</w:t>
            </w:r>
          </w:p>
        </w:tc>
        <w:tc>
          <w:tcPr>
            <w:tcW w:w="1860" w:type="dxa"/>
            <w:tcMar>
              <w:top w:w="0" w:type="dxa"/>
              <w:bottom w:w="0" w:type="dxa"/>
            </w:tcMar>
            <w:vAlign w:val="center"/>
          </w:tcPr>
          <w:p w:rsidR="002446FF" w:rsidRDefault="00000000">
            <w:pPr>
              <w:keepNext/>
              <w:keepLines/>
              <w:spacing w:after="0" w:line="240" w:lineRule="auto"/>
              <w:jc w:val="right"/>
            </w:pPr>
            <w:r>
              <w:rPr>
                <w:sz w:val="18"/>
              </w:rPr>
              <w:t>6.389,79</w:t>
            </w:r>
          </w:p>
        </w:tc>
        <w:tc>
          <w:tcPr>
            <w:tcW w:w="700" w:type="dxa"/>
            <w:tcMar>
              <w:top w:w="0" w:type="dxa"/>
              <w:bottom w:w="0" w:type="dxa"/>
            </w:tcMar>
            <w:vAlign w:val="center"/>
          </w:tcPr>
          <w:p w:rsidR="002446FF" w:rsidRDefault="00000000">
            <w:pPr>
              <w:keepNext/>
              <w:keepLines/>
              <w:spacing w:after="0" w:line="240" w:lineRule="auto"/>
              <w:jc w:val="right"/>
            </w:pPr>
            <w:r>
              <w:rPr>
                <w:sz w:val="18"/>
              </w:rPr>
              <w:t>125,9</w:t>
            </w:r>
          </w:p>
        </w:tc>
      </w:tr>
    </w:tbl>
    <w:p w:rsidR="002446FF" w:rsidRDefault="002446FF">
      <w:pPr>
        <w:spacing w:after="0"/>
      </w:pPr>
    </w:p>
    <w:p w:rsidR="002446FF" w:rsidRDefault="00000000">
      <w:r>
        <w:t>Povećanje ove vrste rashoda 2025. godine u odnosu na 2024. godinu nastalo je temeljem isplaćenih naknada troška prijevoza polaznicima različitih programa za potrebe jačanja tržišta rada.</w:t>
      </w:r>
    </w:p>
    <w:p w:rsidR="002446FF" w:rsidRDefault="002446FF"/>
    <w:p w:rsidR="002446FF" w:rsidRDefault="00000000">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3291</w:t>
            </w:r>
          </w:p>
        </w:tc>
        <w:tc>
          <w:tcPr>
            <w:tcW w:w="3180" w:type="dxa"/>
            <w:tcMar>
              <w:top w:w="0" w:type="dxa"/>
              <w:bottom w:w="0" w:type="dxa"/>
            </w:tcMar>
            <w:vAlign w:val="center"/>
          </w:tcPr>
          <w:p w:rsidR="002446FF" w:rsidRDefault="00000000">
            <w:pPr>
              <w:keepNext/>
              <w:keepLines/>
              <w:spacing w:after="0" w:line="240" w:lineRule="auto"/>
            </w:pPr>
            <w:r>
              <w:rPr>
                <w:sz w:val="18"/>
              </w:rPr>
              <w:t>Naknade za rad predstavničkih i izvršnih tijela, povjerenstava i slično</w:t>
            </w:r>
          </w:p>
        </w:tc>
        <w:tc>
          <w:tcPr>
            <w:tcW w:w="700" w:type="dxa"/>
            <w:tcMar>
              <w:top w:w="0" w:type="dxa"/>
              <w:bottom w:w="0" w:type="dxa"/>
            </w:tcMar>
            <w:vAlign w:val="center"/>
          </w:tcPr>
          <w:p w:rsidR="002446FF" w:rsidRDefault="00000000">
            <w:pPr>
              <w:keepNext/>
              <w:keepLines/>
              <w:spacing w:after="0" w:line="240" w:lineRule="auto"/>
            </w:pPr>
            <w:r>
              <w:rPr>
                <w:sz w:val="18"/>
              </w:rPr>
              <w:t>3291</w:t>
            </w:r>
          </w:p>
        </w:tc>
        <w:tc>
          <w:tcPr>
            <w:tcW w:w="1860" w:type="dxa"/>
            <w:tcMar>
              <w:top w:w="0" w:type="dxa"/>
              <w:bottom w:w="0" w:type="dxa"/>
            </w:tcMar>
            <w:vAlign w:val="center"/>
          </w:tcPr>
          <w:p w:rsidR="002446FF" w:rsidRDefault="00000000">
            <w:pPr>
              <w:keepNext/>
              <w:keepLines/>
              <w:spacing w:after="0" w:line="240" w:lineRule="auto"/>
              <w:jc w:val="right"/>
            </w:pPr>
            <w:r>
              <w:rPr>
                <w:sz w:val="18"/>
              </w:rPr>
              <w:t>1.711.607,67</w:t>
            </w:r>
          </w:p>
        </w:tc>
        <w:tc>
          <w:tcPr>
            <w:tcW w:w="1860" w:type="dxa"/>
            <w:tcMar>
              <w:top w:w="0" w:type="dxa"/>
              <w:bottom w:w="0" w:type="dxa"/>
            </w:tcMar>
            <w:vAlign w:val="center"/>
          </w:tcPr>
          <w:p w:rsidR="002446FF" w:rsidRDefault="00000000">
            <w:pPr>
              <w:keepNext/>
              <w:keepLines/>
              <w:spacing w:after="0" w:line="240" w:lineRule="auto"/>
              <w:jc w:val="right"/>
            </w:pPr>
            <w:r>
              <w:rPr>
                <w:sz w:val="18"/>
              </w:rPr>
              <w:t>1.033.104,79</w:t>
            </w:r>
          </w:p>
        </w:tc>
        <w:tc>
          <w:tcPr>
            <w:tcW w:w="700" w:type="dxa"/>
            <w:tcMar>
              <w:top w:w="0" w:type="dxa"/>
              <w:bottom w:w="0" w:type="dxa"/>
            </w:tcMar>
            <w:vAlign w:val="center"/>
          </w:tcPr>
          <w:p w:rsidR="002446FF" w:rsidRDefault="00000000">
            <w:pPr>
              <w:keepNext/>
              <w:keepLines/>
              <w:spacing w:after="0" w:line="240" w:lineRule="auto"/>
              <w:jc w:val="right"/>
            </w:pPr>
            <w:r>
              <w:rPr>
                <w:sz w:val="18"/>
              </w:rPr>
              <w:t>60,4</w:t>
            </w:r>
          </w:p>
        </w:tc>
      </w:tr>
    </w:tbl>
    <w:p w:rsidR="002446FF" w:rsidRDefault="002446FF">
      <w:pPr>
        <w:spacing w:after="0"/>
      </w:pPr>
    </w:p>
    <w:p w:rsidR="002446FF" w:rsidRDefault="00000000">
      <w:r>
        <w:t>Tijekom 2024. godine izvršeni su rashodi ove vrste za provedbu izbora zastupnika u Hrvatski sabor održanih 17. travnja 2024. godine i izbora članova u EU parlament iz RH održanih 9. lipnja 2024. godine. Tijekom 2025. godine izvršeni su rashodi ove vrste za provedbu drugog kruga predsjedničkih izbora i lokalnih izbora 2025. godine.</w:t>
      </w:r>
    </w:p>
    <w:p w:rsidR="002446FF" w:rsidRDefault="002446FF"/>
    <w:p w:rsidR="002446FF" w:rsidRDefault="00000000">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3294</w:t>
            </w:r>
          </w:p>
        </w:tc>
        <w:tc>
          <w:tcPr>
            <w:tcW w:w="3180" w:type="dxa"/>
            <w:tcMar>
              <w:top w:w="0" w:type="dxa"/>
              <w:bottom w:w="0" w:type="dxa"/>
            </w:tcMar>
            <w:vAlign w:val="center"/>
          </w:tcPr>
          <w:p w:rsidR="002446FF" w:rsidRDefault="00000000">
            <w:pPr>
              <w:keepNext/>
              <w:keepLines/>
              <w:spacing w:after="0" w:line="240" w:lineRule="auto"/>
            </w:pPr>
            <w:r>
              <w:rPr>
                <w:sz w:val="18"/>
              </w:rPr>
              <w:t>Članarine i norme</w:t>
            </w:r>
          </w:p>
        </w:tc>
        <w:tc>
          <w:tcPr>
            <w:tcW w:w="700" w:type="dxa"/>
            <w:tcMar>
              <w:top w:w="0" w:type="dxa"/>
              <w:bottom w:w="0" w:type="dxa"/>
            </w:tcMar>
            <w:vAlign w:val="center"/>
          </w:tcPr>
          <w:p w:rsidR="002446FF" w:rsidRDefault="00000000">
            <w:pPr>
              <w:keepNext/>
              <w:keepLines/>
              <w:spacing w:after="0" w:line="240" w:lineRule="auto"/>
            </w:pPr>
            <w:r>
              <w:rPr>
                <w:sz w:val="18"/>
              </w:rPr>
              <w:t>3294</w:t>
            </w:r>
          </w:p>
        </w:tc>
        <w:tc>
          <w:tcPr>
            <w:tcW w:w="1860" w:type="dxa"/>
            <w:tcMar>
              <w:top w:w="0" w:type="dxa"/>
              <w:bottom w:w="0" w:type="dxa"/>
            </w:tcMar>
            <w:vAlign w:val="center"/>
          </w:tcPr>
          <w:p w:rsidR="002446FF" w:rsidRDefault="00000000">
            <w:pPr>
              <w:keepNext/>
              <w:keepLines/>
              <w:spacing w:after="0" w:line="240" w:lineRule="auto"/>
              <w:jc w:val="right"/>
            </w:pPr>
            <w:r>
              <w:rPr>
                <w:sz w:val="18"/>
              </w:rPr>
              <w:t>34.313,14</w:t>
            </w:r>
          </w:p>
        </w:tc>
        <w:tc>
          <w:tcPr>
            <w:tcW w:w="1860" w:type="dxa"/>
            <w:tcMar>
              <w:top w:w="0" w:type="dxa"/>
              <w:bottom w:w="0" w:type="dxa"/>
            </w:tcMar>
            <w:vAlign w:val="center"/>
          </w:tcPr>
          <w:p w:rsidR="002446FF" w:rsidRDefault="00000000">
            <w:pPr>
              <w:keepNext/>
              <w:keepLines/>
              <w:spacing w:after="0" w:line="240" w:lineRule="auto"/>
              <w:jc w:val="right"/>
            </w:pPr>
            <w:r>
              <w:rPr>
                <w:sz w:val="18"/>
              </w:rPr>
              <w:t>46.923,92</w:t>
            </w:r>
          </w:p>
        </w:tc>
        <w:tc>
          <w:tcPr>
            <w:tcW w:w="700" w:type="dxa"/>
            <w:tcMar>
              <w:top w:w="0" w:type="dxa"/>
              <w:bottom w:w="0" w:type="dxa"/>
            </w:tcMar>
            <w:vAlign w:val="center"/>
          </w:tcPr>
          <w:p w:rsidR="002446FF" w:rsidRDefault="00000000">
            <w:pPr>
              <w:keepNext/>
              <w:keepLines/>
              <w:spacing w:after="0" w:line="240" w:lineRule="auto"/>
              <w:jc w:val="right"/>
            </w:pPr>
            <w:r>
              <w:rPr>
                <w:sz w:val="18"/>
              </w:rPr>
              <w:t>136,8</w:t>
            </w:r>
          </w:p>
        </w:tc>
      </w:tr>
    </w:tbl>
    <w:p w:rsidR="002446FF" w:rsidRDefault="002446FF">
      <w:pPr>
        <w:spacing w:after="0"/>
      </w:pPr>
    </w:p>
    <w:p w:rsidR="002446FF" w:rsidRDefault="00000000">
      <w:r>
        <w:t>Na povećanje ove vrste rashoda 2025. godine u odnosu na 2024. godinu utjecao je viši iznos članarine za prvo polugodište Hrvatskoj zajednici županija (2024. godine – 33.377,69 eura, 2025. godine –43.988,47 eura).</w:t>
      </w:r>
    </w:p>
    <w:p w:rsidR="002446FF" w:rsidRDefault="002446FF"/>
    <w:p w:rsidR="002446FF" w:rsidRDefault="00000000">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3296</w:t>
            </w:r>
          </w:p>
        </w:tc>
        <w:tc>
          <w:tcPr>
            <w:tcW w:w="3180" w:type="dxa"/>
            <w:tcMar>
              <w:top w:w="0" w:type="dxa"/>
              <w:bottom w:w="0" w:type="dxa"/>
            </w:tcMar>
            <w:vAlign w:val="center"/>
          </w:tcPr>
          <w:p w:rsidR="002446FF" w:rsidRDefault="00000000">
            <w:pPr>
              <w:keepNext/>
              <w:keepLines/>
              <w:spacing w:after="0" w:line="240" w:lineRule="auto"/>
            </w:pPr>
            <w:r>
              <w:rPr>
                <w:sz w:val="18"/>
              </w:rPr>
              <w:t>Troškovi sudskih postupaka</w:t>
            </w:r>
          </w:p>
        </w:tc>
        <w:tc>
          <w:tcPr>
            <w:tcW w:w="700" w:type="dxa"/>
            <w:tcMar>
              <w:top w:w="0" w:type="dxa"/>
              <w:bottom w:w="0" w:type="dxa"/>
            </w:tcMar>
            <w:vAlign w:val="center"/>
          </w:tcPr>
          <w:p w:rsidR="002446FF" w:rsidRDefault="00000000">
            <w:pPr>
              <w:keepNext/>
              <w:keepLines/>
              <w:spacing w:after="0" w:line="240" w:lineRule="auto"/>
            </w:pPr>
            <w:r>
              <w:rPr>
                <w:sz w:val="18"/>
              </w:rPr>
              <w:t>3296</w:t>
            </w:r>
          </w:p>
        </w:tc>
        <w:tc>
          <w:tcPr>
            <w:tcW w:w="1860" w:type="dxa"/>
            <w:tcMar>
              <w:top w:w="0" w:type="dxa"/>
              <w:bottom w:w="0" w:type="dxa"/>
            </w:tcMar>
            <w:vAlign w:val="center"/>
          </w:tcPr>
          <w:p w:rsidR="002446FF" w:rsidRDefault="00000000">
            <w:pPr>
              <w:keepNext/>
              <w:keepLines/>
              <w:spacing w:after="0" w:line="240" w:lineRule="auto"/>
              <w:jc w:val="right"/>
            </w:pPr>
            <w:r>
              <w:rPr>
                <w:sz w:val="18"/>
              </w:rPr>
              <w:t>125.049,27</w:t>
            </w:r>
          </w:p>
        </w:tc>
        <w:tc>
          <w:tcPr>
            <w:tcW w:w="1860" w:type="dxa"/>
            <w:tcMar>
              <w:top w:w="0" w:type="dxa"/>
              <w:bottom w:w="0" w:type="dxa"/>
            </w:tcMar>
            <w:vAlign w:val="center"/>
          </w:tcPr>
          <w:p w:rsidR="002446FF" w:rsidRDefault="00000000">
            <w:pPr>
              <w:keepNext/>
              <w:keepLines/>
              <w:spacing w:after="0" w:line="240" w:lineRule="auto"/>
              <w:jc w:val="right"/>
            </w:pPr>
            <w:r>
              <w:rPr>
                <w:sz w:val="18"/>
              </w:rPr>
              <w:t>1.250,00</w:t>
            </w:r>
          </w:p>
        </w:tc>
        <w:tc>
          <w:tcPr>
            <w:tcW w:w="700" w:type="dxa"/>
            <w:tcMar>
              <w:top w:w="0" w:type="dxa"/>
              <w:bottom w:w="0" w:type="dxa"/>
            </w:tcMar>
            <w:vAlign w:val="center"/>
          </w:tcPr>
          <w:p w:rsidR="002446FF" w:rsidRDefault="00000000">
            <w:pPr>
              <w:keepNext/>
              <w:keepLines/>
              <w:spacing w:after="0" w:line="240" w:lineRule="auto"/>
              <w:jc w:val="right"/>
            </w:pPr>
            <w:r>
              <w:rPr>
                <w:sz w:val="18"/>
              </w:rPr>
              <w:t>1,0</w:t>
            </w:r>
          </w:p>
        </w:tc>
      </w:tr>
    </w:tbl>
    <w:p w:rsidR="002446FF" w:rsidRDefault="002446FF">
      <w:pPr>
        <w:spacing w:after="0"/>
      </w:pPr>
    </w:p>
    <w:p w:rsidR="002446FF" w:rsidRDefault="00000000">
      <w:r>
        <w:t>Nastali troškovi u 2024. godine najvećim dijelom odnose se na sudski postupak vezano za Presudu i Rješenje posl.br. 10 P-290/2022-32. </w:t>
      </w:r>
    </w:p>
    <w:p w:rsidR="002446FF" w:rsidRDefault="002446FF"/>
    <w:p w:rsidR="002446FF" w:rsidRDefault="00000000">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3299</w:t>
            </w:r>
          </w:p>
        </w:tc>
        <w:tc>
          <w:tcPr>
            <w:tcW w:w="3180" w:type="dxa"/>
            <w:tcMar>
              <w:top w:w="0" w:type="dxa"/>
              <w:bottom w:w="0" w:type="dxa"/>
            </w:tcMar>
            <w:vAlign w:val="center"/>
          </w:tcPr>
          <w:p w:rsidR="002446FF" w:rsidRDefault="00000000">
            <w:pPr>
              <w:keepNext/>
              <w:keepLines/>
              <w:spacing w:after="0" w:line="240" w:lineRule="auto"/>
            </w:pPr>
            <w:r>
              <w:rPr>
                <w:sz w:val="18"/>
              </w:rPr>
              <w:t>Ostali nespomenuti rashodi poslovanja</w:t>
            </w:r>
          </w:p>
        </w:tc>
        <w:tc>
          <w:tcPr>
            <w:tcW w:w="700" w:type="dxa"/>
            <w:tcMar>
              <w:top w:w="0" w:type="dxa"/>
              <w:bottom w:w="0" w:type="dxa"/>
            </w:tcMar>
            <w:vAlign w:val="center"/>
          </w:tcPr>
          <w:p w:rsidR="002446FF" w:rsidRDefault="00000000">
            <w:pPr>
              <w:keepNext/>
              <w:keepLines/>
              <w:spacing w:after="0" w:line="240" w:lineRule="auto"/>
            </w:pPr>
            <w:r>
              <w:rPr>
                <w:sz w:val="18"/>
              </w:rPr>
              <w:t>3299</w:t>
            </w:r>
          </w:p>
        </w:tc>
        <w:tc>
          <w:tcPr>
            <w:tcW w:w="1860" w:type="dxa"/>
            <w:tcMar>
              <w:top w:w="0" w:type="dxa"/>
              <w:bottom w:w="0" w:type="dxa"/>
            </w:tcMar>
            <w:vAlign w:val="center"/>
          </w:tcPr>
          <w:p w:rsidR="002446FF" w:rsidRDefault="00000000">
            <w:pPr>
              <w:keepNext/>
              <w:keepLines/>
              <w:spacing w:after="0" w:line="240" w:lineRule="auto"/>
              <w:jc w:val="right"/>
            </w:pPr>
            <w:r>
              <w:rPr>
                <w:sz w:val="18"/>
              </w:rPr>
              <w:t>50.029,21</w:t>
            </w:r>
          </w:p>
        </w:tc>
        <w:tc>
          <w:tcPr>
            <w:tcW w:w="1860" w:type="dxa"/>
            <w:tcMar>
              <w:top w:w="0" w:type="dxa"/>
              <w:bottom w:w="0" w:type="dxa"/>
            </w:tcMar>
            <w:vAlign w:val="center"/>
          </w:tcPr>
          <w:p w:rsidR="002446FF" w:rsidRDefault="00000000">
            <w:pPr>
              <w:keepNext/>
              <w:keepLines/>
              <w:spacing w:after="0" w:line="240" w:lineRule="auto"/>
              <w:jc w:val="right"/>
            </w:pPr>
            <w:r>
              <w:rPr>
                <w:sz w:val="18"/>
              </w:rPr>
              <w:t>72.286,36</w:t>
            </w:r>
          </w:p>
        </w:tc>
        <w:tc>
          <w:tcPr>
            <w:tcW w:w="700" w:type="dxa"/>
            <w:tcMar>
              <w:top w:w="0" w:type="dxa"/>
              <w:bottom w:w="0" w:type="dxa"/>
            </w:tcMar>
            <w:vAlign w:val="center"/>
          </w:tcPr>
          <w:p w:rsidR="002446FF" w:rsidRDefault="00000000">
            <w:pPr>
              <w:keepNext/>
              <w:keepLines/>
              <w:spacing w:after="0" w:line="240" w:lineRule="auto"/>
              <w:jc w:val="right"/>
            </w:pPr>
            <w:r>
              <w:rPr>
                <w:sz w:val="18"/>
              </w:rPr>
              <w:t>144,5</w:t>
            </w:r>
          </w:p>
        </w:tc>
      </w:tr>
    </w:tbl>
    <w:p w:rsidR="002446FF" w:rsidRDefault="002446FF">
      <w:pPr>
        <w:spacing w:after="0"/>
      </w:pPr>
    </w:p>
    <w:p w:rsidR="002446FF" w:rsidRDefault="00000000">
      <w:r>
        <w:t>Tijekom 2025. godine veći  rashodi ove vrste u odnosu na 2024. godinu odnose se na provedbu aktivnosti Nagrađivanje izvrsnosti te nove aktivnosti Sajam zanimanja i Zdrave navike u okviru programa Razvoj odgojno obrazovnog sustava.</w:t>
      </w:r>
    </w:p>
    <w:p w:rsidR="002446FF" w:rsidRDefault="002446FF"/>
    <w:p w:rsidR="002446FF" w:rsidRDefault="00000000">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3522</w:t>
            </w:r>
          </w:p>
        </w:tc>
        <w:tc>
          <w:tcPr>
            <w:tcW w:w="3180" w:type="dxa"/>
            <w:tcMar>
              <w:top w:w="0" w:type="dxa"/>
              <w:bottom w:w="0" w:type="dxa"/>
            </w:tcMar>
            <w:vAlign w:val="center"/>
          </w:tcPr>
          <w:p w:rsidR="002446FF" w:rsidRDefault="00000000">
            <w:pPr>
              <w:keepNext/>
              <w:keepLines/>
              <w:spacing w:after="0" w:line="240" w:lineRule="auto"/>
            </w:pPr>
            <w:r>
              <w:rPr>
                <w:sz w:val="18"/>
              </w:rPr>
              <w:t>Subvencije trgovačkim društvima i zadrugama izvan javnog sektora</w:t>
            </w:r>
          </w:p>
        </w:tc>
        <w:tc>
          <w:tcPr>
            <w:tcW w:w="700" w:type="dxa"/>
            <w:tcMar>
              <w:top w:w="0" w:type="dxa"/>
              <w:bottom w:w="0" w:type="dxa"/>
            </w:tcMar>
            <w:vAlign w:val="center"/>
          </w:tcPr>
          <w:p w:rsidR="002446FF" w:rsidRDefault="00000000">
            <w:pPr>
              <w:keepNext/>
              <w:keepLines/>
              <w:spacing w:after="0" w:line="240" w:lineRule="auto"/>
            </w:pPr>
            <w:r>
              <w:rPr>
                <w:sz w:val="18"/>
              </w:rPr>
              <w:t>3522</w:t>
            </w:r>
          </w:p>
        </w:tc>
        <w:tc>
          <w:tcPr>
            <w:tcW w:w="1860" w:type="dxa"/>
            <w:tcMar>
              <w:top w:w="0" w:type="dxa"/>
              <w:bottom w:w="0" w:type="dxa"/>
            </w:tcMar>
            <w:vAlign w:val="center"/>
          </w:tcPr>
          <w:p w:rsidR="002446FF" w:rsidRDefault="00000000">
            <w:pPr>
              <w:keepNext/>
              <w:keepLines/>
              <w:spacing w:after="0" w:line="240" w:lineRule="auto"/>
              <w:jc w:val="right"/>
            </w:pPr>
            <w:r>
              <w:rPr>
                <w:sz w:val="18"/>
              </w:rPr>
              <w:t>1.145.199,78</w:t>
            </w:r>
          </w:p>
        </w:tc>
        <w:tc>
          <w:tcPr>
            <w:tcW w:w="1860" w:type="dxa"/>
            <w:tcMar>
              <w:top w:w="0" w:type="dxa"/>
              <w:bottom w:w="0" w:type="dxa"/>
            </w:tcMar>
            <w:vAlign w:val="center"/>
          </w:tcPr>
          <w:p w:rsidR="002446FF" w:rsidRDefault="00000000">
            <w:pPr>
              <w:keepNext/>
              <w:keepLines/>
              <w:spacing w:after="0" w:line="240" w:lineRule="auto"/>
              <w:jc w:val="right"/>
            </w:pPr>
            <w:r>
              <w:rPr>
                <w:sz w:val="18"/>
              </w:rPr>
              <w:t>627.498,23</w:t>
            </w:r>
          </w:p>
        </w:tc>
        <w:tc>
          <w:tcPr>
            <w:tcW w:w="700" w:type="dxa"/>
            <w:tcMar>
              <w:top w:w="0" w:type="dxa"/>
              <w:bottom w:w="0" w:type="dxa"/>
            </w:tcMar>
            <w:vAlign w:val="center"/>
          </w:tcPr>
          <w:p w:rsidR="002446FF" w:rsidRDefault="00000000">
            <w:pPr>
              <w:keepNext/>
              <w:keepLines/>
              <w:spacing w:after="0" w:line="240" w:lineRule="auto"/>
              <w:jc w:val="right"/>
            </w:pPr>
            <w:r>
              <w:rPr>
                <w:sz w:val="18"/>
              </w:rPr>
              <w:t>54,8</w:t>
            </w:r>
          </w:p>
        </w:tc>
      </w:tr>
    </w:tbl>
    <w:p w:rsidR="002446FF" w:rsidRDefault="002446FF">
      <w:pPr>
        <w:spacing w:after="0"/>
      </w:pPr>
    </w:p>
    <w:p w:rsidR="002446FF" w:rsidRDefault="00000000">
      <w:r>
        <w:t xml:space="preserve">Tijekom 2025. godine izvršeno je manje rashoda ove vrste u odnosu na 2024. godinu te se smanjenje odnosi najvećim dijelom na provedbu programa Razvoj i sigurnost prometa gdje su </w:t>
      </w:r>
      <w:r>
        <w:lastRenderedPageBreak/>
        <w:t>se subvencionirali prijevoznici koji pružaju uslugu linijskog prijevoza na području Osječko-baranjske županije (2024. godine – 676.469,65 eura, 2025. godine –65.945,50 eura).</w:t>
      </w:r>
    </w:p>
    <w:p w:rsidR="002446FF" w:rsidRDefault="002446FF"/>
    <w:p w:rsidR="002446FF" w:rsidRDefault="00000000">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3523</w:t>
            </w:r>
          </w:p>
        </w:tc>
        <w:tc>
          <w:tcPr>
            <w:tcW w:w="3180" w:type="dxa"/>
            <w:tcMar>
              <w:top w:w="0" w:type="dxa"/>
              <w:bottom w:w="0" w:type="dxa"/>
            </w:tcMar>
            <w:vAlign w:val="center"/>
          </w:tcPr>
          <w:p w:rsidR="002446FF" w:rsidRDefault="00000000">
            <w:pPr>
              <w:keepNext/>
              <w:keepLines/>
              <w:spacing w:after="0" w:line="240" w:lineRule="auto"/>
            </w:pPr>
            <w:r>
              <w:rPr>
                <w:sz w:val="18"/>
              </w:rPr>
              <w:t>Subvencije poljoprivrednicima i obrtnicima</w:t>
            </w:r>
          </w:p>
        </w:tc>
        <w:tc>
          <w:tcPr>
            <w:tcW w:w="700" w:type="dxa"/>
            <w:tcMar>
              <w:top w:w="0" w:type="dxa"/>
              <w:bottom w:w="0" w:type="dxa"/>
            </w:tcMar>
            <w:vAlign w:val="center"/>
          </w:tcPr>
          <w:p w:rsidR="002446FF" w:rsidRDefault="00000000">
            <w:pPr>
              <w:keepNext/>
              <w:keepLines/>
              <w:spacing w:after="0" w:line="240" w:lineRule="auto"/>
            </w:pPr>
            <w:r>
              <w:rPr>
                <w:sz w:val="18"/>
              </w:rPr>
              <w:t>3523</w:t>
            </w:r>
          </w:p>
        </w:tc>
        <w:tc>
          <w:tcPr>
            <w:tcW w:w="1860" w:type="dxa"/>
            <w:tcMar>
              <w:top w:w="0" w:type="dxa"/>
              <w:bottom w:w="0" w:type="dxa"/>
            </w:tcMar>
            <w:vAlign w:val="center"/>
          </w:tcPr>
          <w:p w:rsidR="002446FF" w:rsidRDefault="00000000">
            <w:pPr>
              <w:keepNext/>
              <w:keepLines/>
              <w:spacing w:after="0" w:line="240" w:lineRule="auto"/>
              <w:jc w:val="right"/>
            </w:pPr>
            <w:r>
              <w:rPr>
                <w:sz w:val="18"/>
              </w:rPr>
              <w:t>336.052,97</w:t>
            </w:r>
          </w:p>
        </w:tc>
        <w:tc>
          <w:tcPr>
            <w:tcW w:w="1860" w:type="dxa"/>
            <w:tcMar>
              <w:top w:w="0" w:type="dxa"/>
              <w:bottom w:w="0" w:type="dxa"/>
            </w:tcMar>
            <w:vAlign w:val="center"/>
          </w:tcPr>
          <w:p w:rsidR="002446FF" w:rsidRDefault="00000000">
            <w:pPr>
              <w:keepNext/>
              <w:keepLines/>
              <w:spacing w:after="0" w:line="240" w:lineRule="auto"/>
              <w:jc w:val="right"/>
            </w:pPr>
            <w:r>
              <w:rPr>
                <w:sz w:val="18"/>
              </w:rPr>
              <w:t>519.866,64</w:t>
            </w:r>
          </w:p>
        </w:tc>
        <w:tc>
          <w:tcPr>
            <w:tcW w:w="700" w:type="dxa"/>
            <w:tcMar>
              <w:top w:w="0" w:type="dxa"/>
              <w:bottom w:w="0" w:type="dxa"/>
            </w:tcMar>
            <w:vAlign w:val="center"/>
          </w:tcPr>
          <w:p w:rsidR="002446FF" w:rsidRDefault="00000000">
            <w:pPr>
              <w:keepNext/>
              <w:keepLines/>
              <w:spacing w:after="0" w:line="240" w:lineRule="auto"/>
              <w:jc w:val="right"/>
            </w:pPr>
            <w:r>
              <w:rPr>
                <w:sz w:val="18"/>
              </w:rPr>
              <w:t>154,7</w:t>
            </w:r>
          </w:p>
        </w:tc>
      </w:tr>
    </w:tbl>
    <w:p w:rsidR="002446FF" w:rsidRDefault="002446FF">
      <w:pPr>
        <w:spacing w:after="0"/>
      </w:pPr>
    </w:p>
    <w:p w:rsidR="002446FF" w:rsidRDefault="00000000">
      <w:r>
        <w:t>Povećanje ove vrste rashoda 2025. godine u odnosu na 2024. godine rezultat je više isplaćenih subvencija temeljem provedbe programa Jačanje gospodarstva (2024. godine –47.834,00 eura, 2025. godine –97.662,00 eura), Potpore u poljoprivredi (2024. godine –171.396,97 eura, 2025. godine –265.005,64 eura), Potpore ruralnom razvoju (2024. godine –51.552,00 eura, 2025. godine –61.914,00 eura) i Unaprjeđenje kontinentalnog turizma (2024. godine –65.270,00 eura, 2025. godine –95.285,00 eura).</w:t>
      </w:r>
    </w:p>
    <w:p w:rsidR="002446FF" w:rsidRDefault="002446FF"/>
    <w:p w:rsidR="002446FF" w:rsidRDefault="00000000">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3632</w:t>
            </w:r>
          </w:p>
        </w:tc>
        <w:tc>
          <w:tcPr>
            <w:tcW w:w="3180" w:type="dxa"/>
            <w:tcMar>
              <w:top w:w="0" w:type="dxa"/>
              <w:bottom w:w="0" w:type="dxa"/>
            </w:tcMar>
            <w:vAlign w:val="center"/>
          </w:tcPr>
          <w:p w:rsidR="002446FF" w:rsidRDefault="00000000">
            <w:pPr>
              <w:keepNext/>
              <w:keepLines/>
              <w:spacing w:after="0" w:line="240" w:lineRule="auto"/>
            </w:pPr>
            <w:r>
              <w:rPr>
                <w:sz w:val="18"/>
              </w:rPr>
              <w:t>Kapitalne pomoći drugom proračunu i izvanproračunskim korisnicima</w:t>
            </w:r>
          </w:p>
        </w:tc>
        <w:tc>
          <w:tcPr>
            <w:tcW w:w="700" w:type="dxa"/>
            <w:tcMar>
              <w:top w:w="0" w:type="dxa"/>
              <w:bottom w:w="0" w:type="dxa"/>
            </w:tcMar>
            <w:vAlign w:val="center"/>
          </w:tcPr>
          <w:p w:rsidR="002446FF" w:rsidRDefault="00000000">
            <w:pPr>
              <w:keepNext/>
              <w:keepLines/>
              <w:spacing w:after="0" w:line="240" w:lineRule="auto"/>
            </w:pPr>
            <w:r>
              <w:rPr>
                <w:sz w:val="18"/>
              </w:rPr>
              <w:t>3632</w:t>
            </w:r>
          </w:p>
        </w:tc>
        <w:tc>
          <w:tcPr>
            <w:tcW w:w="1860" w:type="dxa"/>
            <w:tcMar>
              <w:top w:w="0" w:type="dxa"/>
              <w:bottom w:w="0" w:type="dxa"/>
            </w:tcMar>
            <w:vAlign w:val="center"/>
          </w:tcPr>
          <w:p w:rsidR="002446FF" w:rsidRDefault="00000000">
            <w:pPr>
              <w:keepNext/>
              <w:keepLines/>
              <w:spacing w:after="0" w:line="240" w:lineRule="auto"/>
              <w:jc w:val="right"/>
            </w:pPr>
            <w:r>
              <w:rPr>
                <w:sz w:val="18"/>
              </w:rPr>
              <w:t>1.149.185,33</w:t>
            </w:r>
          </w:p>
        </w:tc>
        <w:tc>
          <w:tcPr>
            <w:tcW w:w="1860" w:type="dxa"/>
            <w:tcMar>
              <w:top w:w="0" w:type="dxa"/>
              <w:bottom w:w="0" w:type="dxa"/>
            </w:tcMar>
            <w:vAlign w:val="center"/>
          </w:tcPr>
          <w:p w:rsidR="002446FF" w:rsidRDefault="00000000">
            <w:pPr>
              <w:keepNext/>
              <w:keepLines/>
              <w:spacing w:after="0" w:line="240" w:lineRule="auto"/>
              <w:jc w:val="right"/>
            </w:pPr>
            <w:r>
              <w:rPr>
                <w:sz w:val="18"/>
              </w:rPr>
              <w:t>1.813.598,00</w:t>
            </w:r>
          </w:p>
        </w:tc>
        <w:tc>
          <w:tcPr>
            <w:tcW w:w="700" w:type="dxa"/>
            <w:tcMar>
              <w:top w:w="0" w:type="dxa"/>
              <w:bottom w:w="0" w:type="dxa"/>
            </w:tcMar>
            <w:vAlign w:val="center"/>
          </w:tcPr>
          <w:p w:rsidR="002446FF" w:rsidRDefault="00000000">
            <w:pPr>
              <w:keepNext/>
              <w:keepLines/>
              <w:spacing w:after="0" w:line="240" w:lineRule="auto"/>
              <w:jc w:val="right"/>
            </w:pPr>
            <w:r>
              <w:rPr>
                <w:sz w:val="18"/>
              </w:rPr>
              <w:t>157,8</w:t>
            </w:r>
          </w:p>
        </w:tc>
      </w:tr>
    </w:tbl>
    <w:p w:rsidR="002446FF" w:rsidRDefault="002446FF">
      <w:pPr>
        <w:spacing w:after="0"/>
      </w:pPr>
    </w:p>
    <w:p w:rsidR="002446FF" w:rsidRDefault="00000000">
      <w:r>
        <w:t>Povećanje ove vrste rashoda 2025. godine u odnosu na 2024. godinu rezultat je provedbe novog programa Obitelj i mladi u iznosu od 200.000,00 eura (sufinanciranje projekta izgradnje vrtića u Ivanovcu, sufinanciranje projekta energetske obnove vrtića u Čepinu) te više utrošenih sredstava za program Izgradnja, rekonstrukcija i opremanje objekata i infrastrukture (2024. godine –100.000,00 eura, 2025. godine –759.000,00 eura).</w:t>
      </w:r>
    </w:p>
    <w:p w:rsidR="002446FF" w:rsidRDefault="002446FF"/>
    <w:p w:rsidR="002446FF" w:rsidRDefault="00000000">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3661</w:t>
            </w:r>
          </w:p>
        </w:tc>
        <w:tc>
          <w:tcPr>
            <w:tcW w:w="3180" w:type="dxa"/>
            <w:tcMar>
              <w:top w:w="0" w:type="dxa"/>
              <w:bottom w:w="0" w:type="dxa"/>
            </w:tcMar>
            <w:vAlign w:val="center"/>
          </w:tcPr>
          <w:p w:rsidR="002446FF" w:rsidRDefault="00000000">
            <w:pPr>
              <w:keepNext/>
              <w:keepLines/>
              <w:spacing w:after="0" w:line="240" w:lineRule="auto"/>
            </w:pPr>
            <w:r>
              <w:rPr>
                <w:sz w:val="18"/>
              </w:rPr>
              <w:t>Tekuće pomoći proračunskim korisnicima drugih proračuna</w:t>
            </w:r>
          </w:p>
        </w:tc>
        <w:tc>
          <w:tcPr>
            <w:tcW w:w="700" w:type="dxa"/>
            <w:tcMar>
              <w:top w:w="0" w:type="dxa"/>
              <w:bottom w:w="0" w:type="dxa"/>
            </w:tcMar>
            <w:vAlign w:val="center"/>
          </w:tcPr>
          <w:p w:rsidR="002446FF" w:rsidRDefault="00000000">
            <w:pPr>
              <w:keepNext/>
              <w:keepLines/>
              <w:spacing w:after="0" w:line="240" w:lineRule="auto"/>
            </w:pPr>
            <w:r>
              <w:rPr>
                <w:sz w:val="18"/>
              </w:rPr>
              <w:t>3661</w:t>
            </w:r>
          </w:p>
        </w:tc>
        <w:tc>
          <w:tcPr>
            <w:tcW w:w="1860" w:type="dxa"/>
            <w:tcMar>
              <w:top w:w="0" w:type="dxa"/>
              <w:bottom w:w="0" w:type="dxa"/>
            </w:tcMar>
            <w:vAlign w:val="center"/>
          </w:tcPr>
          <w:p w:rsidR="002446FF" w:rsidRDefault="00000000">
            <w:pPr>
              <w:keepNext/>
              <w:keepLines/>
              <w:spacing w:after="0" w:line="240" w:lineRule="auto"/>
              <w:jc w:val="right"/>
            </w:pPr>
            <w:r>
              <w:rPr>
                <w:sz w:val="18"/>
              </w:rPr>
              <w:t>288.534,58</w:t>
            </w:r>
          </w:p>
        </w:tc>
        <w:tc>
          <w:tcPr>
            <w:tcW w:w="1860" w:type="dxa"/>
            <w:tcMar>
              <w:top w:w="0" w:type="dxa"/>
              <w:bottom w:w="0" w:type="dxa"/>
            </w:tcMar>
            <w:vAlign w:val="center"/>
          </w:tcPr>
          <w:p w:rsidR="002446FF" w:rsidRDefault="00000000">
            <w:pPr>
              <w:keepNext/>
              <w:keepLines/>
              <w:spacing w:after="0" w:line="240" w:lineRule="auto"/>
              <w:jc w:val="right"/>
            </w:pPr>
            <w:r>
              <w:rPr>
                <w:sz w:val="18"/>
              </w:rPr>
              <w:t>735.812,24</w:t>
            </w:r>
          </w:p>
        </w:tc>
        <w:tc>
          <w:tcPr>
            <w:tcW w:w="700" w:type="dxa"/>
            <w:tcMar>
              <w:top w:w="0" w:type="dxa"/>
              <w:bottom w:w="0" w:type="dxa"/>
            </w:tcMar>
            <w:vAlign w:val="center"/>
          </w:tcPr>
          <w:p w:rsidR="002446FF" w:rsidRDefault="00000000">
            <w:pPr>
              <w:keepNext/>
              <w:keepLines/>
              <w:spacing w:after="0" w:line="240" w:lineRule="auto"/>
              <w:jc w:val="right"/>
            </w:pPr>
            <w:r>
              <w:rPr>
                <w:sz w:val="18"/>
              </w:rPr>
              <w:t>255,0</w:t>
            </w:r>
          </w:p>
        </w:tc>
      </w:tr>
    </w:tbl>
    <w:p w:rsidR="002446FF" w:rsidRDefault="002446FF">
      <w:pPr>
        <w:spacing w:after="0"/>
      </w:pPr>
    </w:p>
    <w:p w:rsidR="002446FF" w:rsidRDefault="00000000">
      <w:r>
        <w:t>Tijekom 2025. godine izvršeno je više rashoda ove vrste provedbom programa Podizanje kvalitete i dostupnosti socijalne skrbi, aktivnost Financiranje projekta Centra za starije osobe Našice u iznosu od 500.000,00 eura.</w:t>
      </w:r>
    </w:p>
    <w:p w:rsidR="002446FF" w:rsidRDefault="002446FF"/>
    <w:p w:rsidR="002446FF" w:rsidRDefault="00000000">
      <w:pPr>
        <w:keepNext/>
        <w:spacing w:line="240" w:lineRule="auto"/>
        <w:jc w:val="center"/>
      </w:pPr>
      <w:r>
        <w:rPr>
          <w:sz w:val="28"/>
        </w:rPr>
        <w:lastRenderedPageBreak/>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3662</w:t>
            </w:r>
          </w:p>
        </w:tc>
        <w:tc>
          <w:tcPr>
            <w:tcW w:w="3180" w:type="dxa"/>
            <w:tcMar>
              <w:top w:w="0" w:type="dxa"/>
              <w:bottom w:w="0" w:type="dxa"/>
            </w:tcMar>
            <w:vAlign w:val="center"/>
          </w:tcPr>
          <w:p w:rsidR="002446FF" w:rsidRDefault="00000000">
            <w:pPr>
              <w:keepNext/>
              <w:keepLines/>
              <w:spacing w:after="0" w:line="240" w:lineRule="auto"/>
            </w:pPr>
            <w:r>
              <w:rPr>
                <w:sz w:val="18"/>
              </w:rPr>
              <w:t>Kapitalne pomoći proračunskim korisnicima drugih proračuna</w:t>
            </w:r>
          </w:p>
        </w:tc>
        <w:tc>
          <w:tcPr>
            <w:tcW w:w="700" w:type="dxa"/>
            <w:tcMar>
              <w:top w:w="0" w:type="dxa"/>
              <w:bottom w:w="0" w:type="dxa"/>
            </w:tcMar>
            <w:vAlign w:val="center"/>
          </w:tcPr>
          <w:p w:rsidR="002446FF" w:rsidRDefault="00000000">
            <w:pPr>
              <w:keepNext/>
              <w:keepLines/>
              <w:spacing w:after="0" w:line="240" w:lineRule="auto"/>
            </w:pPr>
            <w:r>
              <w:rPr>
                <w:sz w:val="18"/>
              </w:rPr>
              <w:t>3662</w:t>
            </w:r>
          </w:p>
        </w:tc>
        <w:tc>
          <w:tcPr>
            <w:tcW w:w="1860" w:type="dxa"/>
            <w:tcMar>
              <w:top w:w="0" w:type="dxa"/>
              <w:bottom w:w="0" w:type="dxa"/>
            </w:tcMar>
            <w:vAlign w:val="center"/>
          </w:tcPr>
          <w:p w:rsidR="002446FF" w:rsidRDefault="00000000">
            <w:pPr>
              <w:keepNext/>
              <w:keepLines/>
              <w:spacing w:after="0" w:line="240" w:lineRule="auto"/>
              <w:jc w:val="right"/>
            </w:pPr>
            <w:r>
              <w:rPr>
                <w:sz w:val="18"/>
              </w:rPr>
              <w:t>94.195,79</w:t>
            </w:r>
          </w:p>
        </w:tc>
        <w:tc>
          <w:tcPr>
            <w:tcW w:w="1860" w:type="dxa"/>
            <w:tcMar>
              <w:top w:w="0" w:type="dxa"/>
              <w:bottom w:w="0" w:type="dxa"/>
            </w:tcMar>
            <w:vAlign w:val="center"/>
          </w:tcPr>
          <w:p w:rsidR="002446FF" w:rsidRDefault="00000000">
            <w:pPr>
              <w:keepNext/>
              <w:keepLines/>
              <w:spacing w:after="0" w:line="240" w:lineRule="auto"/>
              <w:jc w:val="right"/>
            </w:pPr>
            <w:r>
              <w:rPr>
                <w:sz w:val="18"/>
              </w:rPr>
              <w:t>253.437,69</w:t>
            </w:r>
          </w:p>
        </w:tc>
        <w:tc>
          <w:tcPr>
            <w:tcW w:w="700" w:type="dxa"/>
            <w:tcMar>
              <w:top w:w="0" w:type="dxa"/>
              <w:bottom w:w="0" w:type="dxa"/>
            </w:tcMar>
            <w:vAlign w:val="center"/>
          </w:tcPr>
          <w:p w:rsidR="002446FF" w:rsidRDefault="00000000">
            <w:pPr>
              <w:keepNext/>
              <w:keepLines/>
              <w:spacing w:after="0" w:line="240" w:lineRule="auto"/>
              <w:jc w:val="right"/>
            </w:pPr>
            <w:r>
              <w:rPr>
                <w:sz w:val="18"/>
              </w:rPr>
              <w:t>269,1</w:t>
            </w:r>
          </w:p>
        </w:tc>
      </w:tr>
    </w:tbl>
    <w:p w:rsidR="002446FF" w:rsidRDefault="002446FF">
      <w:pPr>
        <w:spacing w:after="0"/>
      </w:pPr>
    </w:p>
    <w:p w:rsidR="002446FF" w:rsidRDefault="00000000">
      <w:r>
        <w:t>Tijekom 2025. godine evidentirana je kapitalna pomoć u iznosu od 130.000,00 eura Kliničkom bolničkom centru Osijek za sufinanciranje 3. faze adaptacije prostora Zavoda za dermatologiju i venerologiju i kapitalna pomoć Klinici za očne bolesti. Isto tako dana je kapitalna pomoć Općoj županijskoj bolnici Našice u iznosu od 60.000,00 eura za nabavku endoskopskog stupa.</w:t>
      </w:r>
    </w:p>
    <w:p w:rsidR="002446FF" w:rsidRDefault="002446FF"/>
    <w:p w:rsidR="002446FF" w:rsidRDefault="00000000">
      <w:pPr>
        <w:keepNext/>
        <w:spacing w:line="240" w:lineRule="auto"/>
        <w:jc w:val="center"/>
      </w:pPr>
      <w:r>
        <w:rPr>
          <w:sz w:val="28"/>
        </w:rPr>
        <w:t>Bilješka 33.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368</w:t>
            </w:r>
          </w:p>
        </w:tc>
        <w:tc>
          <w:tcPr>
            <w:tcW w:w="3180" w:type="dxa"/>
            <w:tcMar>
              <w:top w:w="0" w:type="dxa"/>
              <w:bottom w:w="0" w:type="dxa"/>
            </w:tcMar>
            <w:vAlign w:val="center"/>
          </w:tcPr>
          <w:p w:rsidR="002446FF" w:rsidRDefault="00000000">
            <w:pPr>
              <w:keepNext/>
              <w:keepLines/>
              <w:spacing w:after="0" w:line="240" w:lineRule="auto"/>
            </w:pPr>
            <w:r>
              <w:rPr>
                <w:sz w:val="18"/>
              </w:rPr>
              <w:t>Pomoći temeljem prijenosa EU sredstava (šifre 3681+3682)</w:t>
            </w:r>
          </w:p>
        </w:tc>
        <w:tc>
          <w:tcPr>
            <w:tcW w:w="700" w:type="dxa"/>
            <w:tcMar>
              <w:top w:w="0" w:type="dxa"/>
              <w:bottom w:w="0" w:type="dxa"/>
            </w:tcMar>
            <w:vAlign w:val="center"/>
          </w:tcPr>
          <w:p w:rsidR="002446FF" w:rsidRDefault="00000000">
            <w:pPr>
              <w:keepNext/>
              <w:keepLines/>
              <w:spacing w:after="0" w:line="240" w:lineRule="auto"/>
            </w:pPr>
            <w:r>
              <w:rPr>
                <w:sz w:val="18"/>
              </w:rPr>
              <w:t>368</w:t>
            </w:r>
          </w:p>
        </w:tc>
        <w:tc>
          <w:tcPr>
            <w:tcW w:w="1860" w:type="dxa"/>
            <w:tcMar>
              <w:top w:w="0" w:type="dxa"/>
              <w:bottom w:w="0" w:type="dxa"/>
            </w:tcMar>
            <w:vAlign w:val="center"/>
          </w:tcPr>
          <w:p w:rsidR="002446FF" w:rsidRDefault="00000000">
            <w:pPr>
              <w:keepNext/>
              <w:keepLines/>
              <w:spacing w:after="0" w:line="240" w:lineRule="auto"/>
              <w:jc w:val="right"/>
            </w:pPr>
            <w:r>
              <w:rPr>
                <w:sz w:val="18"/>
              </w:rPr>
              <w:t>534.946,94</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700" w:type="dxa"/>
            <w:tcMar>
              <w:top w:w="0" w:type="dxa"/>
              <w:bottom w:w="0" w:type="dxa"/>
            </w:tcMar>
            <w:vAlign w:val="center"/>
          </w:tcPr>
          <w:p w:rsidR="002446FF" w:rsidRDefault="00000000">
            <w:pPr>
              <w:keepNext/>
              <w:keepLines/>
              <w:spacing w:after="0" w:line="240" w:lineRule="auto"/>
              <w:jc w:val="right"/>
            </w:pPr>
            <w:r>
              <w:rPr>
                <w:sz w:val="18"/>
              </w:rPr>
              <w:t>0</w:t>
            </w:r>
          </w:p>
        </w:tc>
      </w:tr>
    </w:tbl>
    <w:p w:rsidR="002446FF" w:rsidRDefault="002446FF">
      <w:pPr>
        <w:spacing w:after="0"/>
      </w:pPr>
    </w:p>
    <w:p w:rsidR="002446FF" w:rsidRDefault="00000000">
      <w:r>
        <w:t>Tijekom 2024. godine evidentirani su rashodi temeljem provedbe projekta Regionalni znanstveni centri Panonske Hrvatske u odnosu na 2025. godinu kada ih nije bilo.</w:t>
      </w:r>
    </w:p>
    <w:p w:rsidR="002446FF" w:rsidRDefault="002446FF"/>
    <w:p w:rsidR="002446FF" w:rsidRDefault="00000000">
      <w:pPr>
        <w:keepNext/>
        <w:spacing w:line="240" w:lineRule="auto"/>
        <w:jc w:val="center"/>
      </w:pPr>
      <w:r>
        <w:rPr>
          <w:sz w:val="28"/>
        </w:rPr>
        <w:t>Bilješka 34.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3691</w:t>
            </w:r>
          </w:p>
        </w:tc>
        <w:tc>
          <w:tcPr>
            <w:tcW w:w="3180" w:type="dxa"/>
            <w:tcMar>
              <w:top w:w="0" w:type="dxa"/>
              <w:bottom w:w="0" w:type="dxa"/>
            </w:tcMar>
            <w:vAlign w:val="center"/>
          </w:tcPr>
          <w:p w:rsidR="002446FF" w:rsidRDefault="00000000">
            <w:pPr>
              <w:keepNext/>
              <w:keepLines/>
              <w:spacing w:after="0" w:line="240" w:lineRule="auto"/>
            </w:pPr>
            <w:r>
              <w:rPr>
                <w:sz w:val="18"/>
              </w:rPr>
              <w:t>Tekući prijenosi između proračunskih korisnika istog proračuna</w:t>
            </w:r>
          </w:p>
        </w:tc>
        <w:tc>
          <w:tcPr>
            <w:tcW w:w="700" w:type="dxa"/>
            <w:tcMar>
              <w:top w:w="0" w:type="dxa"/>
              <w:bottom w:w="0" w:type="dxa"/>
            </w:tcMar>
            <w:vAlign w:val="center"/>
          </w:tcPr>
          <w:p w:rsidR="002446FF" w:rsidRDefault="00000000">
            <w:pPr>
              <w:keepNext/>
              <w:keepLines/>
              <w:spacing w:after="0" w:line="240" w:lineRule="auto"/>
            </w:pPr>
            <w:r>
              <w:rPr>
                <w:sz w:val="18"/>
              </w:rPr>
              <w:t>3691</w:t>
            </w:r>
          </w:p>
        </w:tc>
        <w:tc>
          <w:tcPr>
            <w:tcW w:w="1860" w:type="dxa"/>
            <w:tcMar>
              <w:top w:w="0" w:type="dxa"/>
              <w:bottom w:w="0" w:type="dxa"/>
            </w:tcMar>
            <w:vAlign w:val="center"/>
          </w:tcPr>
          <w:p w:rsidR="002446FF" w:rsidRDefault="00000000">
            <w:pPr>
              <w:keepNext/>
              <w:keepLines/>
              <w:spacing w:after="0" w:line="240" w:lineRule="auto"/>
              <w:jc w:val="right"/>
            </w:pPr>
            <w:r>
              <w:rPr>
                <w:sz w:val="18"/>
              </w:rPr>
              <w:t>47.382,92</w:t>
            </w:r>
          </w:p>
        </w:tc>
        <w:tc>
          <w:tcPr>
            <w:tcW w:w="1860" w:type="dxa"/>
            <w:tcMar>
              <w:top w:w="0" w:type="dxa"/>
              <w:bottom w:w="0" w:type="dxa"/>
            </w:tcMar>
            <w:vAlign w:val="center"/>
          </w:tcPr>
          <w:p w:rsidR="002446FF" w:rsidRDefault="00000000">
            <w:pPr>
              <w:keepNext/>
              <w:keepLines/>
              <w:spacing w:after="0" w:line="240" w:lineRule="auto"/>
              <w:jc w:val="right"/>
            </w:pPr>
            <w:r>
              <w:rPr>
                <w:sz w:val="18"/>
              </w:rPr>
              <w:t>9.413,74</w:t>
            </w:r>
          </w:p>
        </w:tc>
        <w:tc>
          <w:tcPr>
            <w:tcW w:w="700" w:type="dxa"/>
            <w:tcMar>
              <w:top w:w="0" w:type="dxa"/>
              <w:bottom w:w="0" w:type="dxa"/>
            </w:tcMar>
            <w:vAlign w:val="center"/>
          </w:tcPr>
          <w:p w:rsidR="002446FF" w:rsidRDefault="00000000">
            <w:pPr>
              <w:keepNext/>
              <w:keepLines/>
              <w:spacing w:after="0" w:line="240" w:lineRule="auto"/>
              <w:jc w:val="right"/>
            </w:pPr>
            <w:r>
              <w:rPr>
                <w:sz w:val="18"/>
              </w:rPr>
              <w:t>19,9</w:t>
            </w:r>
          </w:p>
        </w:tc>
      </w:tr>
    </w:tbl>
    <w:p w:rsidR="002446FF" w:rsidRDefault="002446FF">
      <w:pPr>
        <w:spacing w:after="0"/>
      </w:pPr>
    </w:p>
    <w:p w:rsidR="002446FF" w:rsidRDefault="00000000">
      <w:r>
        <w:t>Tijekom 2024. godine evidentirano je više tekućih prijenosa Centru za autizam temeljem provedbe aktivnosti Razvoj socijalnih usluga Centra za autizam u odnosu na 2025. godinu (2024. –34.282,92 eura, 2025. –9.413,74 eura) te je 2024. godine Nastavnom zavodu za javno zdravstvo Osječko-baranjske županije podmiren trošak provedenog ispitivanja onečišćenja hrane izazvane požarom u tvornici Drava International d.o.o. u iznosu od 13.100,00 eura.</w:t>
      </w:r>
    </w:p>
    <w:p w:rsidR="002446FF" w:rsidRDefault="002446FF"/>
    <w:p w:rsidR="002446FF" w:rsidRDefault="00000000">
      <w:pPr>
        <w:keepNext/>
        <w:spacing w:line="240" w:lineRule="auto"/>
        <w:jc w:val="center"/>
      </w:pPr>
      <w:r>
        <w:rPr>
          <w:sz w:val="28"/>
        </w:rPr>
        <w:t>Bilješka 35.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3721</w:t>
            </w:r>
          </w:p>
        </w:tc>
        <w:tc>
          <w:tcPr>
            <w:tcW w:w="3180" w:type="dxa"/>
            <w:tcMar>
              <w:top w:w="0" w:type="dxa"/>
              <w:bottom w:w="0" w:type="dxa"/>
            </w:tcMar>
            <w:vAlign w:val="center"/>
          </w:tcPr>
          <w:p w:rsidR="002446FF" w:rsidRDefault="00000000">
            <w:pPr>
              <w:keepNext/>
              <w:keepLines/>
              <w:spacing w:after="0" w:line="240" w:lineRule="auto"/>
            </w:pPr>
            <w:r>
              <w:rPr>
                <w:sz w:val="18"/>
              </w:rPr>
              <w:t>Naknade građanima i kućanstvima u novcu</w:t>
            </w:r>
          </w:p>
        </w:tc>
        <w:tc>
          <w:tcPr>
            <w:tcW w:w="700" w:type="dxa"/>
            <w:tcMar>
              <w:top w:w="0" w:type="dxa"/>
              <w:bottom w:w="0" w:type="dxa"/>
            </w:tcMar>
            <w:vAlign w:val="center"/>
          </w:tcPr>
          <w:p w:rsidR="002446FF" w:rsidRDefault="00000000">
            <w:pPr>
              <w:keepNext/>
              <w:keepLines/>
              <w:spacing w:after="0" w:line="240" w:lineRule="auto"/>
            </w:pPr>
            <w:r>
              <w:rPr>
                <w:sz w:val="18"/>
              </w:rPr>
              <w:t>3721</w:t>
            </w:r>
          </w:p>
        </w:tc>
        <w:tc>
          <w:tcPr>
            <w:tcW w:w="1860" w:type="dxa"/>
            <w:tcMar>
              <w:top w:w="0" w:type="dxa"/>
              <w:bottom w:w="0" w:type="dxa"/>
            </w:tcMar>
            <w:vAlign w:val="center"/>
          </w:tcPr>
          <w:p w:rsidR="002446FF" w:rsidRDefault="00000000">
            <w:pPr>
              <w:keepNext/>
              <w:keepLines/>
              <w:spacing w:after="0" w:line="240" w:lineRule="auto"/>
              <w:jc w:val="right"/>
            </w:pPr>
            <w:r>
              <w:rPr>
                <w:sz w:val="18"/>
              </w:rPr>
              <w:t>1.305.162,35</w:t>
            </w:r>
          </w:p>
        </w:tc>
        <w:tc>
          <w:tcPr>
            <w:tcW w:w="1860" w:type="dxa"/>
            <w:tcMar>
              <w:top w:w="0" w:type="dxa"/>
              <w:bottom w:w="0" w:type="dxa"/>
            </w:tcMar>
            <w:vAlign w:val="center"/>
          </w:tcPr>
          <w:p w:rsidR="002446FF" w:rsidRDefault="00000000">
            <w:pPr>
              <w:keepNext/>
              <w:keepLines/>
              <w:spacing w:after="0" w:line="240" w:lineRule="auto"/>
              <w:jc w:val="right"/>
            </w:pPr>
            <w:r>
              <w:rPr>
                <w:sz w:val="18"/>
              </w:rPr>
              <w:t>1.595.912,12</w:t>
            </w:r>
          </w:p>
        </w:tc>
        <w:tc>
          <w:tcPr>
            <w:tcW w:w="700" w:type="dxa"/>
            <w:tcMar>
              <w:top w:w="0" w:type="dxa"/>
              <w:bottom w:w="0" w:type="dxa"/>
            </w:tcMar>
            <w:vAlign w:val="center"/>
          </w:tcPr>
          <w:p w:rsidR="002446FF" w:rsidRDefault="00000000">
            <w:pPr>
              <w:keepNext/>
              <w:keepLines/>
              <w:spacing w:after="0" w:line="240" w:lineRule="auto"/>
              <w:jc w:val="right"/>
            </w:pPr>
            <w:r>
              <w:rPr>
                <w:sz w:val="18"/>
              </w:rPr>
              <w:t>122,3</w:t>
            </w:r>
          </w:p>
        </w:tc>
      </w:tr>
    </w:tbl>
    <w:p w:rsidR="002446FF" w:rsidRDefault="002446FF">
      <w:pPr>
        <w:spacing w:after="0"/>
      </w:pPr>
    </w:p>
    <w:p w:rsidR="002446FF" w:rsidRDefault="00000000">
      <w:r>
        <w:lastRenderedPageBreak/>
        <w:t>Tijekom 2025. godine evidentirani su znatno viši rashodi za subvencije stambenih kredita u funkciji jačanja gospodarstva temeljem provedbe programa Obitelj i mladi, Stambena politika i Jačanje gospodarstva u odnosu na 2024. godinu kada su navedeni programi bili objedinjeni u program Jačanje gospodarstva.</w:t>
      </w:r>
    </w:p>
    <w:p w:rsidR="002446FF" w:rsidRDefault="002446FF"/>
    <w:p w:rsidR="002446FF" w:rsidRDefault="00000000">
      <w:pPr>
        <w:keepNext/>
        <w:spacing w:line="240" w:lineRule="auto"/>
        <w:jc w:val="center"/>
      </w:pPr>
      <w:r>
        <w:rPr>
          <w:sz w:val="28"/>
        </w:rPr>
        <w:t>Bilješka 36.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3821</w:t>
            </w:r>
          </w:p>
        </w:tc>
        <w:tc>
          <w:tcPr>
            <w:tcW w:w="3180" w:type="dxa"/>
            <w:tcMar>
              <w:top w:w="0" w:type="dxa"/>
              <w:bottom w:w="0" w:type="dxa"/>
            </w:tcMar>
            <w:vAlign w:val="center"/>
          </w:tcPr>
          <w:p w:rsidR="002446FF" w:rsidRDefault="00000000">
            <w:pPr>
              <w:keepNext/>
              <w:keepLines/>
              <w:spacing w:after="0" w:line="240" w:lineRule="auto"/>
            </w:pPr>
            <w:r>
              <w:rPr>
                <w:sz w:val="18"/>
              </w:rPr>
              <w:t>Kapitalne donacije neprofitnim organizacijama</w:t>
            </w:r>
          </w:p>
        </w:tc>
        <w:tc>
          <w:tcPr>
            <w:tcW w:w="700" w:type="dxa"/>
            <w:tcMar>
              <w:top w:w="0" w:type="dxa"/>
              <w:bottom w:w="0" w:type="dxa"/>
            </w:tcMar>
            <w:vAlign w:val="center"/>
          </w:tcPr>
          <w:p w:rsidR="002446FF" w:rsidRDefault="00000000">
            <w:pPr>
              <w:keepNext/>
              <w:keepLines/>
              <w:spacing w:after="0" w:line="240" w:lineRule="auto"/>
            </w:pPr>
            <w:r>
              <w:rPr>
                <w:sz w:val="18"/>
              </w:rPr>
              <w:t>3821</w:t>
            </w:r>
          </w:p>
        </w:tc>
        <w:tc>
          <w:tcPr>
            <w:tcW w:w="1860" w:type="dxa"/>
            <w:tcMar>
              <w:top w:w="0" w:type="dxa"/>
              <w:bottom w:w="0" w:type="dxa"/>
            </w:tcMar>
            <w:vAlign w:val="center"/>
          </w:tcPr>
          <w:p w:rsidR="002446FF" w:rsidRDefault="00000000">
            <w:pPr>
              <w:keepNext/>
              <w:keepLines/>
              <w:spacing w:after="0" w:line="240" w:lineRule="auto"/>
              <w:jc w:val="right"/>
            </w:pPr>
            <w:r>
              <w:rPr>
                <w:sz w:val="18"/>
              </w:rPr>
              <w:t>352.363,00</w:t>
            </w:r>
          </w:p>
        </w:tc>
        <w:tc>
          <w:tcPr>
            <w:tcW w:w="1860" w:type="dxa"/>
            <w:tcMar>
              <w:top w:w="0" w:type="dxa"/>
              <w:bottom w:w="0" w:type="dxa"/>
            </w:tcMar>
            <w:vAlign w:val="center"/>
          </w:tcPr>
          <w:p w:rsidR="002446FF" w:rsidRDefault="00000000">
            <w:pPr>
              <w:keepNext/>
              <w:keepLines/>
              <w:spacing w:after="0" w:line="240" w:lineRule="auto"/>
              <w:jc w:val="right"/>
            </w:pPr>
            <w:r>
              <w:rPr>
                <w:sz w:val="18"/>
              </w:rPr>
              <w:t>509.476,00</w:t>
            </w:r>
          </w:p>
        </w:tc>
        <w:tc>
          <w:tcPr>
            <w:tcW w:w="700" w:type="dxa"/>
            <w:tcMar>
              <w:top w:w="0" w:type="dxa"/>
              <w:bottom w:w="0" w:type="dxa"/>
            </w:tcMar>
            <w:vAlign w:val="center"/>
          </w:tcPr>
          <w:p w:rsidR="002446FF" w:rsidRDefault="00000000">
            <w:pPr>
              <w:keepNext/>
              <w:keepLines/>
              <w:spacing w:after="0" w:line="240" w:lineRule="auto"/>
              <w:jc w:val="right"/>
            </w:pPr>
            <w:r>
              <w:rPr>
                <w:sz w:val="18"/>
              </w:rPr>
              <w:t>144,6</w:t>
            </w:r>
          </w:p>
        </w:tc>
      </w:tr>
    </w:tbl>
    <w:p w:rsidR="002446FF" w:rsidRDefault="002446FF">
      <w:pPr>
        <w:spacing w:after="0"/>
      </w:pPr>
    </w:p>
    <w:p w:rsidR="002446FF" w:rsidRDefault="00000000">
      <w:r>
        <w:t>Tijekom 2025. godine bilo je više rashoda ove vrste u odnosu na 2024. godinu temeljem provedbe programa Zaštita prava nacionalnih manjina (2024. – 95.500,00 eura, 2025. – 107.000,00 eura), Organiziranje i provođenje zaštite i spašavanja (2024. – 70.902,00 eura, 2025. – 116.000,00 eura) i Potpore vjerskim zajednicama (2024. – 56.500,00 eura, 2025. – 176.990,00 eura).</w:t>
      </w:r>
    </w:p>
    <w:p w:rsidR="002446FF" w:rsidRDefault="002446FF"/>
    <w:p w:rsidR="002446FF" w:rsidRDefault="00000000">
      <w:pPr>
        <w:keepNext/>
        <w:spacing w:line="240" w:lineRule="auto"/>
        <w:jc w:val="center"/>
      </w:pPr>
      <w:r>
        <w:rPr>
          <w:sz w:val="28"/>
        </w:rPr>
        <w:t>Bilješka 37.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3831</w:t>
            </w:r>
          </w:p>
        </w:tc>
        <w:tc>
          <w:tcPr>
            <w:tcW w:w="3180" w:type="dxa"/>
            <w:tcMar>
              <w:top w:w="0" w:type="dxa"/>
              <w:bottom w:w="0" w:type="dxa"/>
            </w:tcMar>
            <w:vAlign w:val="center"/>
          </w:tcPr>
          <w:p w:rsidR="002446FF" w:rsidRDefault="00000000">
            <w:pPr>
              <w:keepNext/>
              <w:keepLines/>
              <w:spacing w:after="0" w:line="240" w:lineRule="auto"/>
            </w:pPr>
            <w:r>
              <w:rPr>
                <w:sz w:val="18"/>
              </w:rPr>
              <w:t>Naknade šteta pravnim i fizičkim osobama</w:t>
            </w:r>
          </w:p>
        </w:tc>
        <w:tc>
          <w:tcPr>
            <w:tcW w:w="700" w:type="dxa"/>
            <w:tcMar>
              <w:top w:w="0" w:type="dxa"/>
              <w:bottom w:w="0" w:type="dxa"/>
            </w:tcMar>
            <w:vAlign w:val="center"/>
          </w:tcPr>
          <w:p w:rsidR="002446FF" w:rsidRDefault="00000000">
            <w:pPr>
              <w:keepNext/>
              <w:keepLines/>
              <w:spacing w:after="0" w:line="240" w:lineRule="auto"/>
            </w:pPr>
            <w:r>
              <w:rPr>
                <w:sz w:val="18"/>
              </w:rPr>
              <w:t>3831</w:t>
            </w:r>
          </w:p>
        </w:tc>
        <w:tc>
          <w:tcPr>
            <w:tcW w:w="1860" w:type="dxa"/>
            <w:tcMar>
              <w:top w:w="0" w:type="dxa"/>
              <w:bottom w:w="0" w:type="dxa"/>
            </w:tcMar>
            <w:vAlign w:val="center"/>
          </w:tcPr>
          <w:p w:rsidR="002446FF" w:rsidRDefault="00000000">
            <w:pPr>
              <w:keepNext/>
              <w:keepLines/>
              <w:spacing w:after="0" w:line="240" w:lineRule="auto"/>
              <w:jc w:val="right"/>
            </w:pPr>
            <w:r>
              <w:rPr>
                <w:sz w:val="18"/>
              </w:rPr>
              <w:t>32.901,98</w:t>
            </w:r>
          </w:p>
        </w:tc>
        <w:tc>
          <w:tcPr>
            <w:tcW w:w="1860" w:type="dxa"/>
            <w:tcMar>
              <w:top w:w="0" w:type="dxa"/>
              <w:bottom w:w="0" w:type="dxa"/>
            </w:tcMar>
            <w:vAlign w:val="center"/>
          </w:tcPr>
          <w:p w:rsidR="002446FF" w:rsidRDefault="00000000">
            <w:pPr>
              <w:keepNext/>
              <w:keepLines/>
              <w:spacing w:after="0" w:line="240" w:lineRule="auto"/>
              <w:jc w:val="right"/>
            </w:pPr>
            <w:r>
              <w:rPr>
                <w:sz w:val="18"/>
              </w:rPr>
              <w:t>1.514,00</w:t>
            </w:r>
          </w:p>
        </w:tc>
        <w:tc>
          <w:tcPr>
            <w:tcW w:w="700" w:type="dxa"/>
            <w:tcMar>
              <w:top w:w="0" w:type="dxa"/>
              <w:bottom w:w="0" w:type="dxa"/>
            </w:tcMar>
            <w:vAlign w:val="center"/>
          </w:tcPr>
          <w:p w:rsidR="002446FF" w:rsidRDefault="00000000">
            <w:pPr>
              <w:keepNext/>
              <w:keepLines/>
              <w:spacing w:after="0" w:line="240" w:lineRule="auto"/>
              <w:jc w:val="right"/>
            </w:pPr>
            <w:r>
              <w:rPr>
                <w:sz w:val="18"/>
              </w:rPr>
              <w:t>4,6</w:t>
            </w:r>
          </w:p>
        </w:tc>
      </w:tr>
    </w:tbl>
    <w:p w:rsidR="002446FF" w:rsidRDefault="002446FF">
      <w:pPr>
        <w:spacing w:after="0"/>
      </w:pPr>
    </w:p>
    <w:p w:rsidR="002446FF" w:rsidRDefault="00000000">
      <w:r>
        <w:t>Tijekom 2024. godine evidentiran je trošak temeljem izvansudske nagodbe za razliku od 2025. godine kada je bila samo naknada troška žalbenog postupka.</w:t>
      </w:r>
    </w:p>
    <w:p w:rsidR="002446FF" w:rsidRDefault="002446FF"/>
    <w:p w:rsidR="002446FF" w:rsidRDefault="00000000">
      <w:pPr>
        <w:keepNext/>
        <w:spacing w:line="240" w:lineRule="auto"/>
        <w:jc w:val="center"/>
      </w:pPr>
      <w:r>
        <w:rPr>
          <w:sz w:val="28"/>
        </w:rPr>
        <w:t>Bilješka 38.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386</w:t>
            </w:r>
          </w:p>
        </w:tc>
        <w:tc>
          <w:tcPr>
            <w:tcW w:w="3180" w:type="dxa"/>
            <w:tcMar>
              <w:top w:w="0" w:type="dxa"/>
              <w:bottom w:w="0" w:type="dxa"/>
            </w:tcMar>
            <w:vAlign w:val="center"/>
          </w:tcPr>
          <w:p w:rsidR="002446FF" w:rsidRDefault="00000000">
            <w:pPr>
              <w:keepNext/>
              <w:keepLines/>
              <w:spacing w:after="0" w:line="240" w:lineRule="auto"/>
            </w:pPr>
            <w:r>
              <w:rPr>
                <w:sz w:val="18"/>
              </w:rPr>
              <w:t>Kapitalne pomoći (šifre 3861 do 3865)</w:t>
            </w:r>
          </w:p>
        </w:tc>
        <w:tc>
          <w:tcPr>
            <w:tcW w:w="700" w:type="dxa"/>
            <w:tcMar>
              <w:top w:w="0" w:type="dxa"/>
              <w:bottom w:w="0" w:type="dxa"/>
            </w:tcMar>
            <w:vAlign w:val="center"/>
          </w:tcPr>
          <w:p w:rsidR="002446FF" w:rsidRDefault="00000000">
            <w:pPr>
              <w:keepNext/>
              <w:keepLines/>
              <w:spacing w:after="0" w:line="240" w:lineRule="auto"/>
            </w:pPr>
            <w:r>
              <w:rPr>
                <w:sz w:val="18"/>
              </w:rPr>
              <w:t>386</w:t>
            </w:r>
          </w:p>
        </w:tc>
        <w:tc>
          <w:tcPr>
            <w:tcW w:w="1860" w:type="dxa"/>
            <w:tcMar>
              <w:top w:w="0" w:type="dxa"/>
              <w:bottom w:w="0" w:type="dxa"/>
            </w:tcMar>
            <w:vAlign w:val="center"/>
          </w:tcPr>
          <w:p w:rsidR="002446FF" w:rsidRDefault="00000000">
            <w:pPr>
              <w:keepNext/>
              <w:keepLines/>
              <w:spacing w:after="0" w:line="240" w:lineRule="auto"/>
              <w:jc w:val="right"/>
            </w:pPr>
            <w:r>
              <w:rPr>
                <w:sz w:val="18"/>
              </w:rPr>
              <w:t>50.500,00</w:t>
            </w:r>
          </w:p>
        </w:tc>
        <w:tc>
          <w:tcPr>
            <w:tcW w:w="1860" w:type="dxa"/>
            <w:tcMar>
              <w:top w:w="0" w:type="dxa"/>
              <w:bottom w:w="0" w:type="dxa"/>
            </w:tcMar>
            <w:vAlign w:val="center"/>
          </w:tcPr>
          <w:p w:rsidR="002446FF" w:rsidRDefault="00000000">
            <w:pPr>
              <w:keepNext/>
              <w:keepLines/>
              <w:spacing w:after="0" w:line="240" w:lineRule="auto"/>
              <w:jc w:val="right"/>
            </w:pPr>
            <w:r>
              <w:rPr>
                <w:sz w:val="18"/>
              </w:rPr>
              <w:t>6.236,00</w:t>
            </w:r>
          </w:p>
        </w:tc>
        <w:tc>
          <w:tcPr>
            <w:tcW w:w="700" w:type="dxa"/>
            <w:tcMar>
              <w:top w:w="0" w:type="dxa"/>
              <w:bottom w:w="0" w:type="dxa"/>
            </w:tcMar>
            <w:vAlign w:val="center"/>
          </w:tcPr>
          <w:p w:rsidR="002446FF" w:rsidRDefault="00000000">
            <w:pPr>
              <w:keepNext/>
              <w:keepLines/>
              <w:spacing w:after="0" w:line="240" w:lineRule="auto"/>
              <w:jc w:val="right"/>
            </w:pPr>
            <w:r>
              <w:rPr>
                <w:sz w:val="18"/>
              </w:rPr>
              <w:t>12,3</w:t>
            </w:r>
          </w:p>
        </w:tc>
      </w:tr>
    </w:tbl>
    <w:p w:rsidR="002446FF" w:rsidRDefault="002446FF">
      <w:pPr>
        <w:spacing w:after="0"/>
      </w:pPr>
    </w:p>
    <w:p w:rsidR="002446FF" w:rsidRDefault="00000000">
      <w:r>
        <w:t>Tijekom 2024. godine evidentirane su kapitalne pomoći za kupnju viličara i kupnju stoke za obnovu stada za razliku od 2025. godine kada je dana potpora lovačkim društvima za opremanje hladnjače.</w:t>
      </w:r>
    </w:p>
    <w:p w:rsidR="002446FF" w:rsidRDefault="002446FF"/>
    <w:p w:rsidR="002446FF" w:rsidRDefault="00000000">
      <w:pPr>
        <w:keepNext/>
        <w:spacing w:line="240" w:lineRule="auto"/>
        <w:jc w:val="center"/>
      </w:pPr>
      <w:r>
        <w:rPr>
          <w:sz w:val="28"/>
        </w:rPr>
        <w:lastRenderedPageBreak/>
        <w:t>Bilješka 39.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7111</w:t>
            </w:r>
          </w:p>
        </w:tc>
        <w:tc>
          <w:tcPr>
            <w:tcW w:w="3180" w:type="dxa"/>
            <w:tcMar>
              <w:top w:w="0" w:type="dxa"/>
              <w:bottom w:w="0" w:type="dxa"/>
            </w:tcMar>
            <w:vAlign w:val="center"/>
          </w:tcPr>
          <w:p w:rsidR="002446FF" w:rsidRDefault="00000000">
            <w:pPr>
              <w:keepNext/>
              <w:keepLines/>
              <w:spacing w:after="0" w:line="240" w:lineRule="auto"/>
            </w:pPr>
            <w:r>
              <w:rPr>
                <w:sz w:val="18"/>
              </w:rPr>
              <w:t>Zemljište</w:t>
            </w:r>
          </w:p>
        </w:tc>
        <w:tc>
          <w:tcPr>
            <w:tcW w:w="700" w:type="dxa"/>
            <w:tcMar>
              <w:top w:w="0" w:type="dxa"/>
              <w:bottom w:w="0" w:type="dxa"/>
            </w:tcMar>
            <w:vAlign w:val="center"/>
          </w:tcPr>
          <w:p w:rsidR="002446FF" w:rsidRDefault="00000000">
            <w:pPr>
              <w:keepNext/>
              <w:keepLines/>
              <w:spacing w:after="0" w:line="240" w:lineRule="auto"/>
            </w:pPr>
            <w:r>
              <w:rPr>
                <w:sz w:val="18"/>
              </w:rPr>
              <w:t>7111</w:t>
            </w:r>
          </w:p>
        </w:tc>
        <w:tc>
          <w:tcPr>
            <w:tcW w:w="1860" w:type="dxa"/>
            <w:tcMar>
              <w:top w:w="0" w:type="dxa"/>
              <w:bottom w:w="0" w:type="dxa"/>
            </w:tcMar>
            <w:vAlign w:val="center"/>
          </w:tcPr>
          <w:p w:rsidR="002446FF" w:rsidRDefault="00000000">
            <w:pPr>
              <w:keepNext/>
              <w:keepLines/>
              <w:spacing w:after="0" w:line="240" w:lineRule="auto"/>
              <w:jc w:val="right"/>
            </w:pPr>
            <w:r>
              <w:rPr>
                <w:sz w:val="18"/>
              </w:rPr>
              <w:t>156.653,70</w:t>
            </w:r>
          </w:p>
        </w:tc>
        <w:tc>
          <w:tcPr>
            <w:tcW w:w="1860" w:type="dxa"/>
            <w:tcMar>
              <w:top w:w="0" w:type="dxa"/>
              <w:bottom w:w="0" w:type="dxa"/>
            </w:tcMar>
            <w:vAlign w:val="center"/>
          </w:tcPr>
          <w:p w:rsidR="002446FF" w:rsidRDefault="00000000">
            <w:pPr>
              <w:keepNext/>
              <w:keepLines/>
              <w:spacing w:after="0" w:line="240" w:lineRule="auto"/>
              <w:jc w:val="right"/>
            </w:pPr>
            <w:r>
              <w:rPr>
                <w:sz w:val="18"/>
              </w:rPr>
              <w:t>468.881,84</w:t>
            </w:r>
          </w:p>
        </w:tc>
        <w:tc>
          <w:tcPr>
            <w:tcW w:w="700" w:type="dxa"/>
            <w:tcMar>
              <w:top w:w="0" w:type="dxa"/>
              <w:bottom w:w="0" w:type="dxa"/>
            </w:tcMar>
            <w:vAlign w:val="center"/>
          </w:tcPr>
          <w:p w:rsidR="002446FF" w:rsidRDefault="00000000">
            <w:pPr>
              <w:keepNext/>
              <w:keepLines/>
              <w:spacing w:after="0" w:line="240" w:lineRule="auto"/>
              <w:jc w:val="right"/>
            </w:pPr>
            <w:r>
              <w:rPr>
                <w:sz w:val="18"/>
              </w:rPr>
              <w:t>299,3</w:t>
            </w:r>
          </w:p>
        </w:tc>
      </w:tr>
    </w:tbl>
    <w:p w:rsidR="002446FF" w:rsidRDefault="002446FF">
      <w:pPr>
        <w:spacing w:after="0"/>
      </w:pPr>
    </w:p>
    <w:p w:rsidR="002446FF" w:rsidRDefault="00000000">
      <w:r>
        <w:t>Ova vrsta prihoda ostvaruje se temeljem Zakona o poljoprivrednom zemljištu te se ne može utjecati na visinu ostvarenja. Znatno povećanje odnosi se na prodaju zemljišta bez izvršnog akta kojim se odobrava građenje prema riješenim predmetima Grada Osijeka.</w:t>
      </w:r>
    </w:p>
    <w:p w:rsidR="002446FF" w:rsidRDefault="002446FF"/>
    <w:p w:rsidR="002446FF" w:rsidRDefault="00000000">
      <w:pPr>
        <w:keepNext/>
        <w:spacing w:line="240" w:lineRule="auto"/>
        <w:jc w:val="center"/>
      </w:pPr>
      <w:r>
        <w:rPr>
          <w:sz w:val="28"/>
        </w:rPr>
        <w:t>Bilješka 40.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7212</w:t>
            </w:r>
          </w:p>
        </w:tc>
        <w:tc>
          <w:tcPr>
            <w:tcW w:w="3180" w:type="dxa"/>
            <w:tcMar>
              <w:top w:w="0" w:type="dxa"/>
              <w:bottom w:w="0" w:type="dxa"/>
            </w:tcMar>
            <w:vAlign w:val="center"/>
          </w:tcPr>
          <w:p w:rsidR="002446FF" w:rsidRDefault="00000000">
            <w:pPr>
              <w:keepNext/>
              <w:keepLines/>
              <w:spacing w:after="0" w:line="240" w:lineRule="auto"/>
            </w:pPr>
            <w:r>
              <w:rPr>
                <w:sz w:val="18"/>
              </w:rPr>
              <w:t>Poslovni objekti</w:t>
            </w:r>
          </w:p>
        </w:tc>
        <w:tc>
          <w:tcPr>
            <w:tcW w:w="700" w:type="dxa"/>
            <w:tcMar>
              <w:top w:w="0" w:type="dxa"/>
              <w:bottom w:w="0" w:type="dxa"/>
            </w:tcMar>
            <w:vAlign w:val="center"/>
          </w:tcPr>
          <w:p w:rsidR="002446FF" w:rsidRDefault="00000000">
            <w:pPr>
              <w:keepNext/>
              <w:keepLines/>
              <w:spacing w:after="0" w:line="240" w:lineRule="auto"/>
            </w:pPr>
            <w:r>
              <w:rPr>
                <w:sz w:val="18"/>
              </w:rPr>
              <w:t>7212</w:t>
            </w:r>
          </w:p>
        </w:tc>
        <w:tc>
          <w:tcPr>
            <w:tcW w:w="1860" w:type="dxa"/>
            <w:tcMar>
              <w:top w:w="0" w:type="dxa"/>
              <w:bottom w:w="0" w:type="dxa"/>
            </w:tcMar>
            <w:vAlign w:val="center"/>
          </w:tcPr>
          <w:p w:rsidR="002446FF" w:rsidRDefault="00000000">
            <w:pPr>
              <w:keepNext/>
              <w:keepLines/>
              <w:spacing w:after="0" w:line="240" w:lineRule="auto"/>
              <w:jc w:val="right"/>
            </w:pPr>
            <w:r>
              <w:rPr>
                <w:sz w:val="18"/>
              </w:rPr>
              <w:t>74.512,00</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700" w:type="dxa"/>
            <w:tcMar>
              <w:top w:w="0" w:type="dxa"/>
              <w:bottom w:w="0" w:type="dxa"/>
            </w:tcMar>
            <w:vAlign w:val="center"/>
          </w:tcPr>
          <w:p w:rsidR="002446FF" w:rsidRDefault="00000000">
            <w:pPr>
              <w:keepNext/>
              <w:keepLines/>
              <w:spacing w:after="0" w:line="240" w:lineRule="auto"/>
              <w:jc w:val="right"/>
            </w:pPr>
            <w:r>
              <w:rPr>
                <w:sz w:val="18"/>
              </w:rPr>
              <w:t>0</w:t>
            </w:r>
          </w:p>
        </w:tc>
      </w:tr>
    </w:tbl>
    <w:p w:rsidR="002446FF" w:rsidRDefault="002446FF">
      <w:pPr>
        <w:spacing w:after="0"/>
      </w:pPr>
    </w:p>
    <w:p w:rsidR="002446FF" w:rsidRDefault="00000000">
      <w:r>
        <w:t>Tijekom 2024. godine ostvaren je prihod od prodaje nekretnine u Kapucinskoj 28, Osijek k.č.br. 5634/1 u k.o. Osijek za razliku od 2025. godine kada ih nije bilo.</w:t>
      </w:r>
    </w:p>
    <w:p w:rsidR="002446FF" w:rsidRDefault="002446FF"/>
    <w:p w:rsidR="002446FF" w:rsidRDefault="00000000">
      <w:pPr>
        <w:keepNext/>
        <w:spacing w:line="240" w:lineRule="auto"/>
        <w:jc w:val="center"/>
      </w:pPr>
      <w:r>
        <w:rPr>
          <w:sz w:val="28"/>
        </w:rPr>
        <w:t>Bilješka 41.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722</w:t>
            </w:r>
          </w:p>
        </w:tc>
        <w:tc>
          <w:tcPr>
            <w:tcW w:w="3180" w:type="dxa"/>
            <w:tcMar>
              <w:top w:w="0" w:type="dxa"/>
              <w:bottom w:w="0" w:type="dxa"/>
            </w:tcMar>
            <w:vAlign w:val="center"/>
          </w:tcPr>
          <w:p w:rsidR="002446FF" w:rsidRDefault="00000000">
            <w:pPr>
              <w:keepNext/>
              <w:keepLines/>
              <w:spacing w:after="0" w:line="240" w:lineRule="auto"/>
            </w:pPr>
            <w:r>
              <w:rPr>
                <w:sz w:val="18"/>
              </w:rPr>
              <w:t>Prihodi od prodaje postrojenja i opreme (šifre 7221 do 7228)</w:t>
            </w:r>
          </w:p>
        </w:tc>
        <w:tc>
          <w:tcPr>
            <w:tcW w:w="700" w:type="dxa"/>
            <w:tcMar>
              <w:top w:w="0" w:type="dxa"/>
              <w:bottom w:w="0" w:type="dxa"/>
            </w:tcMar>
            <w:vAlign w:val="center"/>
          </w:tcPr>
          <w:p w:rsidR="002446FF" w:rsidRDefault="00000000">
            <w:pPr>
              <w:keepNext/>
              <w:keepLines/>
              <w:spacing w:after="0" w:line="240" w:lineRule="auto"/>
            </w:pPr>
            <w:r>
              <w:rPr>
                <w:sz w:val="18"/>
              </w:rPr>
              <w:t>722</w:t>
            </w:r>
          </w:p>
        </w:tc>
        <w:tc>
          <w:tcPr>
            <w:tcW w:w="1860" w:type="dxa"/>
            <w:tcMar>
              <w:top w:w="0" w:type="dxa"/>
              <w:bottom w:w="0" w:type="dxa"/>
            </w:tcMar>
            <w:vAlign w:val="center"/>
          </w:tcPr>
          <w:p w:rsidR="002446FF" w:rsidRDefault="00000000">
            <w:pPr>
              <w:keepNext/>
              <w:keepLines/>
              <w:spacing w:after="0" w:line="240" w:lineRule="auto"/>
              <w:jc w:val="right"/>
            </w:pPr>
            <w:r>
              <w:rPr>
                <w:sz w:val="18"/>
              </w:rPr>
              <w:t>360,00</w:t>
            </w:r>
          </w:p>
        </w:tc>
        <w:tc>
          <w:tcPr>
            <w:tcW w:w="1860" w:type="dxa"/>
            <w:tcMar>
              <w:top w:w="0" w:type="dxa"/>
              <w:bottom w:w="0" w:type="dxa"/>
            </w:tcMar>
            <w:vAlign w:val="center"/>
          </w:tcPr>
          <w:p w:rsidR="002446FF" w:rsidRDefault="00000000">
            <w:pPr>
              <w:keepNext/>
              <w:keepLines/>
              <w:spacing w:after="0" w:line="240" w:lineRule="auto"/>
              <w:jc w:val="right"/>
            </w:pPr>
            <w:r>
              <w:rPr>
                <w:sz w:val="18"/>
              </w:rPr>
              <w:t>2.536,31</w:t>
            </w:r>
          </w:p>
        </w:tc>
        <w:tc>
          <w:tcPr>
            <w:tcW w:w="700" w:type="dxa"/>
            <w:tcMar>
              <w:top w:w="0" w:type="dxa"/>
              <w:bottom w:w="0" w:type="dxa"/>
            </w:tcMar>
            <w:vAlign w:val="center"/>
          </w:tcPr>
          <w:p w:rsidR="002446FF" w:rsidRDefault="00000000">
            <w:pPr>
              <w:keepNext/>
              <w:keepLines/>
              <w:spacing w:after="0" w:line="240" w:lineRule="auto"/>
              <w:jc w:val="right"/>
            </w:pPr>
            <w:r>
              <w:rPr>
                <w:sz w:val="18"/>
              </w:rPr>
              <w:t>704,5</w:t>
            </w:r>
          </w:p>
        </w:tc>
      </w:tr>
    </w:tbl>
    <w:p w:rsidR="002446FF" w:rsidRDefault="002446FF">
      <w:pPr>
        <w:spacing w:after="0"/>
      </w:pPr>
    </w:p>
    <w:p w:rsidR="002446FF" w:rsidRDefault="00000000">
      <w:r>
        <w:t>Tijekom 2025. godine ostvareni su  prihodi od prodaje službenih mobitela koje su koristili zaposlenici Osječko-baranjske županije.</w:t>
      </w:r>
    </w:p>
    <w:p w:rsidR="002446FF" w:rsidRDefault="002446FF"/>
    <w:p w:rsidR="002446FF" w:rsidRDefault="00000000">
      <w:pPr>
        <w:keepNext/>
        <w:spacing w:line="240" w:lineRule="auto"/>
        <w:jc w:val="center"/>
      </w:pPr>
      <w:r>
        <w:rPr>
          <w:sz w:val="28"/>
        </w:rPr>
        <w:t>Bilješka 42.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7231</w:t>
            </w:r>
          </w:p>
        </w:tc>
        <w:tc>
          <w:tcPr>
            <w:tcW w:w="3180" w:type="dxa"/>
            <w:tcMar>
              <w:top w:w="0" w:type="dxa"/>
              <w:bottom w:w="0" w:type="dxa"/>
            </w:tcMar>
            <w:vAlign w:val="center"/>
          </w:tcPr>
          <w:p w:rsidR="002446FF" w:rsidRDefault="00000000">
            <w:pPr>
              <w:keepNext/>
              <w:keepLines/>
              <w:spacing w:after="0" w:line="240" w:lineRule="auto"/>
            </w:pPr>
            <w:r>
              <w:rPr>
                <w:sz w:val="18"/>
              </w:rPr>
              <w:t>Prijevozna sredstva u cestovnom prometu</w:t>
            </w:r>
          </w:p>
        </w:tc>
        <w:tc>
          <w:tcPr>
            <w:tcW w:w="700" w:type="dxa"/>
            <w:tcMar>
              <w:top w:w="0" w:type="dxa"/>
              <w:bottom w:w="0" w:type="dxa"/>
            </w:tcMar>
            <w:vAlign w:val="center"/>
          </w:tcPr>
          <w:p w:rsidR="002446FF" w:rsidRDefault="00000000">
            <w:pPr>
              <w:keepNext/>
              <w:keepLines/>
              <w:spacing w:after="0" w:line="240" w:lineRule="auto"/>
            </w:pPr>
            <w:r>
              <w:rPr>
                <w:sz w:val="18"/>
              </w:rPr>
              <w:t>7231</w:t>
            </w:r>
          </w:p>
        </w:tc>
        <w:tc>
          <w:tcPr>
            <w:tcW w:w="1860" w:type="dxa"/>
            <w:tcMar>
              <w:top w:w="0" w:type="dxa"/>
              <w:bottom w:w="0" w:type="dxa"/>
            </w:tcMar>
            <w:vAlign w:val="center"/>
          </w:tcPr>
          <w:p w:rsidR="002446FF" w:rsidRDefault="00000000">
            <w:pPr>
              <w:keepNext/>
              <w:keepLines/>
              <w:spacing w:after="0" w:line="240" w:lineRule="auto"/>
              <w:jc w:val="right"/>
            </w:pPr>
            <w:r>
              <w:rPr>
                <w:sz w:val="18"/>
              </w:rPr>
              <w:t>23.487,36</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700" w:type="dxa"/>
            <w:tcMar>
              <w:top w:w="0" w:type="dxa"/>
              <w:bottom w:w="0" w:type="dxa"/>
            </w:tcMar>
            <w:vAlign w:val="center"/>
          </w:tcPr>
          <w:p w:rsidR="002446FF" w:rsidRDefault="00000000">
            <w:pPr>
              <w:keepNext/>
              <w:keepLines/>
              <w:spacing w:after="0" w:line="240" w:lineRule="auto"/>
              <w:jc w:val="right"/>
            </w:pPr>
            <w:r>
              <w:rPr>
                <w:sz w:val="18"/>
              </w:rPr>
              <w:t>0</w:t>
            </w:r>
          </w:p>
        </w:tc>
      </w:tr>
    </w:tbl>
    <w:p w:rsidR="002446FF" w:rsidRDefault="002446FF">
      <w:pPr>
        <w:spacing w:after="0"/>
      </w:pPr>
    </w:p>
    <w:p w:rsidR="002446FF" w:rsidRDefault="00000000">
      <w:r>
        <w:t>Tijekom 2024. godine ostvaren je prihod za prodane službene automobile za razliku od 2025. godine kada nije bilo prodaje takve vrste imovine Osječko-baranjske županije.</w:t>
      </w:r>
    </w:p>
    <w:p w:rsidR="002446FF" w:rsidRDefault="002446FF"/>
    <w:p w:rsidR="002446FF" w:rsidRDefault="00000000">
      <w:pPr>
        <w:keepNext/>
        <w:spacing w:line="240" w:lineRule="auto"/>
        <w:jc w:val="center"/>
      </w:pPr>
      <w:r>
        <w:rPr>
          <w:sz w:val="28"/>
        </w:rPr>
        <w:lastRenderedPageBreak/>
        <w:t>Bilješka 43.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4111</w:t>
            </w:r>
          </w:p>
        </w:tc>
        <w:tc>
          <w:tcPr>
            <w:tcW w:w="3180" w:type="dxa"/>
            <w:tcMar>
              <w:top w:w="0" w:type="dxa"/>
              <w:bottom w:w="0" w:type="dxa"/>
            </w:tcMar>
            <w:vAlign w:val="center"/>
          </w:tcPr>
          <w:p w:rsidR="002446FF" w:rsidRDefault="00000000">
            <w:pPr>
              <w:keepNext/>
              <w:keepLines/>
              <w:spacing w:after="0" w:line="240" w:lineRule="auto"/>
            </w:pPr>
            <w:r>
              <w:rPr>
                <w:sz w:val="18"/>
              </w:rPr>
              <w:t>Zemljište</w:t>
            </w:r>
          </w:p>
        </w:tc>
        <w:tc>
          <w:tcPr>
            <w:tcW w:w="700" w:type="dxa"/>
            <w:tcMar>
              <w:top w:w="0" w:type="dxa"/>
              <w:bottom w:w="0" w:type="dxa"/>
            </w:tcMar>
            <w:vAlign w:val="center"/>
          </w:tcPr>
          <w:p w:rsidR="002446FF" w:rsidRDefault="00000000">
            <w:pPr>
              <w:keepNext/>
              <w:keepLines/>
              <w:spacing w:after="0" w:line="240" w:lineRule="auto"/>
            </w:pPr>
            <w:r>
              <w:rPr>
                <w:sz w:val="18"/>
              </w:rPr>
              <w:t>4111</w:t>
            </w:r>
          </w:p>
        </w:tc>
        <w:tc>
          <w:tcPr>
            <w:tcW w:w="1860" w:type="dxa"/>
            <w:tcMar>
              <w:top w:w="0" w:type="dxa"/>
              <w:bottom w:w="0" w:type="dxa"/>
            </w:tcMar>
            <w:vAlign w:val="center"/>
          </w:tcPr>
          <w:p w:rsidR="002446FF" w:rsidRDefault="00000000">
            <w:pPr>
              <w:keepNext/>
              <w:keepLines/>
              <w:spacing w:after="0" w:line="240" w:lineRule="auto"/>
              <w:jc w:val="right"/>
            </w:pPr>
            <w:r>
              <w:rPr>
                <w:sz w:val="18"/>
              </w:rPr>
              <w:t>190.000,00</w:t>
            </w:r>
          </w:p>
        </w:tc>
        <w:tc>
          <w:tcPr>
            <w:tcW w:w="1860" w:type="dxa"/>
            <w:tcMar>
              <w:top w:w="0" w:type="dxa"/>
              <w:bottom w:w="0" w:type="dxa"/>
            </w:tcMar>
            <w:vAlign w:val="center"/>
          </w:tcPr>
          <w:p w:rsidR="002446FF" w:rsidRDefault="00000000">
            <w:pPr>
              <w:keepNext/>
              <w:keepLines/>
              <w:spacing w:after="0" w:line="240" w:lineRule="auto"/>
              <w:jc w:val="right"/>
            </w:pPr>
            <w:r>
              <w:rPr>
                <w:sz w:val="18"/>
              </w:rPr>
              <w:t>54.400,00</w:t>
            </w:r>
          </w:p>
        </w:tc>
        <w:tc>
          <w:tcPr>
            <w:tcW w:w="700" w:type="dxa"/>
            <w:tcMar>
              <w:top w:w="0" w:type="dxa"/>
              <w:bottom w:w="0" w:type="dxa"/>
            </w:tcMar>
            <w:vAlign w:val="center"/>
          </w:tcPr>
          <w:p w:rsidR="002446FF" w:rsidRDefault="00000000">
            <w:pPr>
              <w:keepNext/>
              <w:keepLines/>
              <w:spacing w:after="0" w:line="240" w:lineRule="auto"/>
              <w:jc w:val="right"/>
            </w:pPr>
            <w:r>
              <w:rPr>
                <w:sz w:val="18"/>
              </w:rPr>
              <w:t>28,6</w:t>
            </w:r>
          </w:p>
        </w:tc>
      </w:tr>
    </w:tbl>
    <w:p w:rsidR="002446FF" w:rsidRDefault="002446FF">
      <w:pPr>
        <w:spacing w:after="0"/>
      </w:pPr>
    </w:p>
    <w:p w:rsidR="002446FF" w:rsidRDefault="00000000">
      <w:r>
        <w:t>Tijekom 2024. godine kupljeno je zemljište k.č.br. 9839 k.o. Osijek za potrebe izgradnje novog Kliničkog bolničkog centra Osijek dok je 2025. godine kupljeno zemljište k.č.br. 9803/2 k.o. Osijek.</w:t>
      </w:r>
    </w:p>
    <w:p w:rsidR="002446FF" w:rsidRDefault="002446FF"/>
    <w:p w:rsidR="002446FF" w:rsidRDefault="00000000">
      <w:pPr>
        <w:keepNext/>
        <w:spacing w:line="240" w:lineRule="auto"/>
        <w:jc w:val="center"/>
      </w:pPr>
      <w:r>
        <w:rPr>
          <w:sz w:val="28"/>
        </w:rPr>
        <w:t>Bilješka 44.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4126</w:t>
            </w:r>
          </w:p>
        </w:tc>
        <w:tc>
          <w:tcPr>
            <w:tcW w:w="3180" w:type="dxa"/>
            <w:tcMar>
              <w:top w:w="0" w:type="dxa"/>
              <w:bottom w:w="0" w:type="dxa"/>
            </w:tcMar>
            <w:vAlign w:val="center"/>
          </w:tcPr>
          <w:p w:rsidR="002446FF" w:rsidRDefault="00000000">
            <w:pPr>
              <w:keepNext/>
              <w:keepLines/>
              <w:spacing w:after="0" w:line="240" w:lineRule="auto"/>
            </w:pPr>
            <w:r>
              <w:rPr>
                <w:sz w:val="18"/>
              </w:rPr>
              <w:t>Ostala nematerijalna imovina</w:t>
            </w:r>
          </w:p>
        </w:tc>
        <w:tc>
          <w:tcPr>
            <w:tcW w:w="700" w:type="dxa"/>
            <w:tcMar>
              <w:top w:w="0" w:type="dxa"/>
              <w:bottom w:w="0" w:type="dxa"/>
            </w:tcMar>
            <w:vAlign w:val="center"/>
          </w:tcPr>
          <w:p w:rsidR="002446FF" w:rsidRDefault="00000000">
            <w:pPr>
              <w:keepNext/>
              <w:keepLines/>
              <w:spacing w:after="0" w:line="240" w:lineRule="auto"/>
            </w:pPr>
            <w:r>
              <w:rPr>
                <w:sz w:val="18"/>
              </w:rPr>
              <w:t>4126</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3.125,00</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Tijekom 2025. godine evidentiran je rashod za izradu projektnog zadatka za izmjenu i dopunu projekta postojeće zgrade OLT-a za zgradu za rad na edukaciji i rehabilitaciji s osobama iz spektra autizma. 2024. godine nije bilo rashoda ove vrste.</w:t>
      </w:r>
    </w:p>
    <w:p w:rsidR="002446FF" w:rsidRDefault="002446FF"/>
    <w:p w:rsidR="002446FF" w:rsidRDefault="00000000">
      <w:pPr>
        <w:keepNext/>
        <w:spacing w:line="240" w:lineRule="auto"/>
        <w:jc w:val="center"/>
      </w:pPr>
      <w:r>
        <w:rPr>
          <w:sz w:val="28"/>
        </w:rPr>
        <w:t>Bilješka 45.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4212</w:t>
            </w:r>
          </w:p>
        </w:tc>
        <w:tc>
          <w:tcPr>
            <w:tcW w:w="3180" w:type="dxa"/>
            <w:tcMar>
              <w:top w:w="0" w:type="dxa"/>
              <w:bottom w:w="0" w:type="dxa"/>
            </w:tcMar>
            <w:vAlign w:val="center"/>
          </w:tcPr>
          <w:p w:rsidR="002446FF" w:rsidRDefault="00000000">
            <w:pPr>
              <w:keepNext/>
              <w:keepLines/>
              <w:spacing w:after="0" w:line="240" w:lineRule="auto"/>
            </w:pPr>
            <w:r>
              <w:rPr>
                <w:sz w:val="18"/>
              </w:rPr>
              <w:t>Poslovni objekti</w:t>
            </w:r>
          </w:p>
        </w:tc>
        <w:tc>
          <w:tcPr>
            <w:tcW w:w="700" w:type="dxa"/>
            <w:tcMar>
              <w:top w:w="0" w:type="dxa"/>
              <w:bottom w:w="0" w:type="dxa"/>
            </w:tcMar>
            <w:vAlign w:val="center"/>
          </w:tcPr>
          <w:p w:rsidR="002446FF" w:rsidRDefault="00000000">
            <w:pPr>
              <w:keepNext/>
              <w:keepLines/>
              <w:spacing w:after="0" w:line="240" w:lineRule="auto"/>
            </w:pPr>
            <w:r>
              <w:rPr>
                <w:sz w:val="18"/>
              </w:rPr>
              <w:t>4212</w:t>
            </w:r>
          </w:p>
        </w:tc>
        <w:tc>
          <w:tcPr>
            <w:tcW w:w="1860" w:type="dxa"/>
            <w:tcMar>
              <w:top w:w="0" w:type="dxa"/>
              <w:bottom w:w="0" w:type="dxa"/>
            </w:tcMar>
            <w:vAlign w:val="center"/>
          </w:tcPr>
          <w:p w:rsidR="002446FF" w:rsidRDefault="00000000">
            <w:pPr>
              <w:keepNext/>
              <w:keepLines/>
              <w:spacing w:after="0" w:line="240" w:lineRule="auto"/>
              <w:jc w:val="right"/>
            </w:pPr>
            <w:r>
              <w:rPr>
                <w:sz w:val="18"/>
              </w:rPr>
              <w:t>7.688.132,16</w:t>
            </w:r>
          </w:p>
        </w:tc>
        <w:tc>
          <w:tcPr>
            <w:tcW w:w="1860" w:type="dxa"/>
            <w:tcMar>
              <w:top w:w="0" w:type="dxa"/>
              <w:bottom w:w="0" w:type="dxa"/>
            </w:tcMar>
            <w:vAlign w:val="center"/>
          </w:tcPr>
          <w:p w:rsidR="002446FF" w:rsidRDefault="00000000">
            <w:pPr>
              <w:keepNext/>
              <w:keepLines/>
              <w:spacing w:after="0" w:line="240" w:lineRule="auto"/>
              <w:jc w:val="right"/>
            </w:pPr>
            <w:r>
              <w:rPr>
                <w:sz w:val="18"/>
              </w:rPr>
              <w:t>5.353.287,76</w:t>
            </w:r>
          </w:p>
        </w:tc>
        <w:tc>
          <w:tcPr>
            <w:tcW w:w="700" w:type="dxa"/>
            <w:tcMar>
              <w:top w:w="0" w:type="dxa"/>
              <w:bottom w:w="0" w:type="dxa"/>
            </w:tcMar>
            <w:vAlign w:val="center"/>
          </w:tcPr>
          <w:p w:rsidR="002446FF" w:rsidRDefault="00000000">
            <w:pPr>
              <w:keepNext/>
              <w:keepLines/>
              <w:spacing w:after="0" w:line="240" w:lineRule="auto"/>
              <w:jc w:val="right"/>
            </w:pPr>
            <w:r>
              <w:rPr>
                <w:sz w:val="18"/>
              </w:rPr>
              <w:t>69,6</w:t>
            </w:r>
          </w:p>
        </w:tc>
      </w:tr>
    </w:tbl>
    <w:p w:rsidR="002446FF" w:rsidRDefault="002446FF">
      <w:pPr>
        <w:spacing w:after="0"/>
      </w:pPr>
    </w:p>
    <w:p w:rsidR="002446FF" w:rsidRDefault="00000000">
      <w:r>
        <w:t>Tijekom 2024. godine izdvajalo se za kapitalna ulaganja u objekte čija je izgradnja završena 2025. godine. Najznačajnija su izgradnja I. Gimnazije, Osijek i dogradnja nastavno-športske dvorane OŠ Miroslava Krleže, Čepin. 2024. godine Osječko-baranjska županija otkupila je zgradu Iktusa te se izgradilo parkiralište u OŠ Ernestinovo.</w:t>
      </w:r>
    </w:p>
    <w:p w:rsidR="002446FF" w:rsidRDefault="002446FF"/>
    <w:p w:rsidR="002446FF" w:rsidRDefault="00000000">
      <w:pPr>
        <w:keepNext/>
        <w:spacing w:line="240" w:lineRule="auto"/>
        <w:jc w:val="center"/>
      </w:pPr>
      <w:r>
        <w:rPr>
          <w:sz w:val="28"/>
        </w:rPr>
        <w:t>Bilješka 46.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4214</w:t>
            </w:r>
          </w:p>
        </w:tc>
        <w:tc>
          <w:tcPr>
            <w:tcW w:w="3180" w:type="dxa"/>
            <w:tcMar>
              <w:top w:w="0" w:type="dxa"/>
              <w:bottom w:w="0" w:type="dxa"/>
            </w:tcMar>
            <w:vAlign w:val="center"/>
          </w:tcPr>
          <w:p w:rsidR="002446FF" w:rsidRDefault="00000000">
            <w:pPr>
              <w:keepNext/>
              <w:keepLines/>
              <w:spacing w:after="0" w:line="240" w:lineRule="auto"/>
            </w:pPr>
            <w:r>
              <w:rPr>
                <w:sz w:val="18"/>
              </w:rPr>
              <w:t>Ostali građevinski objekti</w:t>
            </w:r>
          </w:p>
        </w:tc>
        <w:tc>
          <w:tcPr>
            <w:tcW w:w="700" w:type="dxa"/>
            <w:tcMar>
              <w:top w:w="0" w:type="dxa"/>
              <w:bottom w:w="0" w:type="dxa"/>
            </w:tcMar>
            <w:vAlign w:val="center"/>
          </w:tcPr>
          <w:p w:rsidR="002446FF" w:rsidRDefault="00000000">
            <w:pPr>
              <w:keepNext/>
              <w:keepLines/>
              <w:spacing w:after="0" w:line="240" w:lineRule="auto"/>
            </w:pPr>
            <w:r>
              <w:rPr>
                <w:sz w:val="18"/>
              </w:rPr>
              <w:t>4214</w:t>
            </w:r>
          </w:p>
        </w:tc>
        <w:tc>
          <w:tcPr>
            <w:tcW w:w="1860" w:type="dxa"/>
            <w:tcMar>
              <w:top w:w="0" w:type="dxa"/>
              <w:bottom w:w="0" w:type="dxa"/>
            </w:tcMar>
            <w:vAlign w:val="center"/>
          </w:tcPr>
          <w:p w:rsidR="002446FF" w:rsidRDefault="00000000">
            <w:pPr>
              <w:keepNext/>
              <w:keepLines/>
              <w:spacing w:after="0" w:line="240" w:lineRule="auto"/>
              <w:jc w:val="right"/>
            </w:pPr>
            <w:r>
              <w:rPr>
                <w:sz w:val="18"/>
              </w:rPr>
              <w:t>4.299.383,05</w:t>
            </w:r>
          </w:p>
        </w:tc>
        <w:tc>
          <w:tcPr>
            <w:tcW w:w="1860" w:type="dxa"/>
            <w:tcMar>
              <w:top w:w="0" w:type="dxa"/>
              <w:bottom w:w="0" w:type="dxa"/>
            </w:tcMar>
            <w:vAlign w:val="center"/>
          </w:tcPr>
          <w:p w:rsidR="002446FF" w:rsidRDefault="00000000">
            <w:pPr>
              <w:keepNext/>
              <w:keepLines/>
              <w:spacing w:after="0" w:line="240" w:lineRule="auto"/>
              <w:jc w:val="right"/>
            </w:pPr>
            <w:r>
              <w:rPr>
                <w:sz w:val="18"/>
              </w:rPr>
              <w:t>427.158,86</w:t>
            </w:r>
          </w:p>
        </w:tc>
        <w:tc>
          <w:tcPr>
            <w:tcW w:w="700" w:type="dxa"/>
            <w:tcMar>
              <w:top w:w="0" w:type="dxa"/>
              <w:bottom w:w="0" w:type="dxa"/>
            </w:tcMar>
            <w:vAlign w:val="center"/>
          </w:tcPr>
          <w:p w:rsidR="002446FF" w:rsidRDefault="00000000">
            <w:pPr>
              <w:keepNext/>
              <w:keepLines/>
              <w:spacing w:after="0" w:line="240" w:lineRule="auto"/>
              <w:jc w:val="right"/>
            </w:pPr>
            <w:r>
              <w:rPr>
                <w:sz w:val="18"/>
              </w:rPr>
              <w:t>9,9</w:t>
            </w:r>
          </w:p>
        </w:tc>
      </w:tr>
    </w:tbl>
    <w:p w:rsidR="002446FF" w:rsidRDefault="002446FF">
      <w:pPr>
        <w:spacing w:after="0"/>
      </w:pPr>
    </w:p>
    <w:p w:rsidR="002446FF" w:rsidRDefault="00000000">
      <w:r>
        <w:lastRenderedPageBreak/>
        <w:t>Tijekom 2024. godine bilo je više rashoda ove vrste zbog intenzivnije provedbe projekta Provedba NAPNAV-a na području Osječko-baranjske županije u odnosu na 2025. godinu. Rashodi su se odnosili na proširenje i dogradnju Sustava navodnjavanja Gat. </w:t>
      </w:r>
    </w:p>
    <w:p w:rsidR="002446FF" w:rsidRDefault="002446FF"/>
    <w:p w:rsidR="002446FF" w:rsidRDefault="00000000">
      <w:pPr>
        <w:keepNext/>
        <w:spacing w:line="240" w:lineRule="auto"/>
        <w:jc w:val="center"/>
      </w:pPr>
      <w:r>
        <w:rPr>
          <w:sz w:val="28"/>
        </w:rPr>
        <w:t>Bilješka 47.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422</w:t>
            </w:r>
          </w:p>
        </w:tc>
        <w:tc>
          <w:tcPr>
            <w:tcW w:w="3180" w:type="dxa"/>
            <w:tcMar>
              <w:top w:w="0" w:type="dxa"/>
              <w:bottom w:w="0" w:type="dxa"/>
            </w:tcMar>
            <w:vAlign w:val="center"/>
          </w:tcPr>
          <w:p w:rsidR="002446FF" w:rsidRDefault="00000000">
            <w:pPr>
              <w:keepNext/>
              <w:keepLines/>
              <w:spacing w:after="0" w:line="240" w:lineRule="auto"/>
            </w:pPr>
            <w:r>
              <w:rPr>
                <w:sz w:val="18"/>
              </w:rPr>
              <w:t>Postrojenja i oprema (šifre 4221 do 4228)</w:t>
            </w:r>
          </w:p>
        </w:tc>
        <w:tc>
          <w:tcPr>
            <w:tcW w:w="700" w:type="dxa"/>
            <w:tcMar>
              <w:top w:w="0" w:type="dxa"/>
              <w:bottom w:w="0" w:type="dxa"/>
            </w:tcMar>
            <w:vAlign w:val="center"/>
          </w:tcPr>
          <w:p w:rsidR="002446FF" w:rsidRDefault="00000000">
            <w:pPr>
              <w:keepNext/>
              <w:keepLines/>
              <w:spacing w:after="0" w:line="240" w:lineRule="auto"/>
            </w:pPr>
            <w:r>
              <w:rPr>
                <w:sz w:val="18"/>
              </w:rPr>
              <w:t>422</w:t>
            </w:r>
          </w:p>
        </w:tc>
        <w:tc>
          <w:tcPr>
            <w:tcW w:w="1860" w:type="dxa"/>
            <w:tcMar>
              <w:top w:w="0" w:type="dxa"/>
              <w:bottom w:w="0" w:type="dxa"/>
            </w:tcMar>
            <w:vAlign w:val="center"/>
          </w:tcPr>
          <w:p w:rsidR="002446FF" w:rsidRDefault="00000000">
            <w:pPr>
              <w:keepNext/>
              <w:keepLines/>
              <w:spacing w:after="0" w:line="240" w:lineRule="auto"/>
              <w:jc w:val="right"/>
            </w:pPr>
            <w:r>
              <w:rPr>
                <w:sz w:val="18"/>
              </w:rPr>
              <w:t>514.849,77</w:t>
            </w:r>
          </w:p>
        </w:tc>
        <w:tc>
          <w:tcPr>
            <w:tcW w:w="1860" w:type="dxa"/>
            <w:tcMar>
              <w:top w:w="0" w:type="dxa"/>
              <w:bottom w:w="0" w:type="dxa"/>
            </w:tcMar>
            <w:vAlign w:val="center"/>
          </w:tcPr>
          <w:p w:rsidR="002446FF" w:rsidRDefault="00000000">
            <w:pPr>
              <w:keepNext/>
              <w:keepLines/>
              <w:spacing w:after="0" w:line="240" w:lineRule="auto"/>
              <w:jc w:val="right"/>
            </w:pPr>
            <w:r>
              <w:rPr>
                <w:sz w:val="18"/>
              </w:rPr>
              <w:t>1.031.234,29</w:t>
            </w:r>
          </w:p>
        </w:tc>
        <w:tc>
          <w:tcPr>
            <w:tcW w:w="700" w:type="dxa"/>
            <w:tcMar>
              <w:top w:w="0" w:type="dxa"/>
              <w:bottom w:w="0" w:type="dxa"/>
            </w:tcMar>
            <w:vAlign w:val="center"/>
          </w:tcPr>
          <w:p w:rsidR="002446FF" w:rsidRDefault="00000000">
            <w:pPr>
              <w:keepNext/>
              <w:keepLines/>
              <w:spacing w:after="0" w:line="240" w:lineRule="auto"/>
              <w:jc w:val="right"/>
            </w:pPr>
            <w:r>
              <w:rPr>
                <w:sz w:val="18"/>
              </w:rPr>
              <w:t>200,3</w:t>
            </w:r>
          </w:p>
        </w:tc>
      </w:tr>
    </w:tbl>
    <w:p w:rsidR="002446FF" w:rsidRDefault="002446FF">
      <w:pPr>
        <w:spacing w:after="0"/>
      </w:pPr>
    </w:p>
    <w:p w:rsidR="002446FF" w:rsidRDefault="00000000">
      <w:r>
        <w:t>Tijekom 2025. godine u odnosu na 2024. godinu nastali su veći rashodi koji se odnose na opremanje zgrade I. Gimnazije Osijek.</w:t>
      </w:r>
    </w:p>
    <w:p w:rsidR="002446FF" w:rsidRDefault="002446FF"/>
    <w:p w:rsidR="002446FF" w:rsidRDefault="00000000">
      <w:pPr>
        <w:keepNext/>
        <w:spacing w:line="240" w:lineRule="auto"/>
        <w:jc w:val="center"/>
      </w:pPr>
      <w:r>
        <w:rPr>
          <w:sz w:val="28"/>
        </w:rPr>
        <w:t>Bilješka 48.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4231</w:t>
            </w:r>
          </w:p>
        </w:tc>
        <w:tc>
          <w:tcPr>
            <w:tcW w:w="3180" w:type="dxa"/>
            <w:tcMar>
              <w:top w:w="0" w:type="dxa"/>
              <w:bottom w:w="0" w:type="dxa"/>
            </w:tcMar>
            <w:vAlign w:val="center"/>
          </w:tcPr>
          <w:p w:rsidR="002446FF" w:rsidRDefault="00000000">
            <w:pPr>
              <w:keepNext/>
              <w:keepLines/>
              <w:spacing w:after="0" w:line="240" w:lineRule="auto"/>
            </w:pPr>
            <w:r>
              <w:rPr>
                <w:sz w:val="18"/>
              </w:rPr>
              <w:t>Prijevozna sredstva u cestovnom prometu</w:t>
            </w:r>
          </w:p>
        </w:tc>
        <w:tc>
          <w:tcPr>
            <w:tcW w:w="700" w:type="dxa"/>
            <w:tcMar>
              <w:top w:w="0" w:type="dxa"/>
              <w:bottom w:w="0" w:type="dxa"/>
            </w:tcMar>
            <w:vAlign w:val="center"/>
          </w:tcPr>
          <w:p w:rsidR="002446FF" w:rsidRDefault="00000000">
            <w:pPr>
              <w:keepNext/>
              <w:keepLines/>
              <w:spacing w:after="0" w:line="240" w:lineRule="auto"/>
            </w:pPr>
            <w:r>
              <w:rPr>
                <w:sz w:val="18"/>
              </w:rPr>
              <w:t>4231</w:t>
            </w:r>
          </w:p>
        </w:tc>
        <w:tc>
          <w:tcPr>
            <w:tcW w:w="1860" w:type="dxa"/>
            <w:tcMar>
              <w:top w:w="0" w:type="dxa"/>
              <w:bottom w:w="0" w:type="dxa"/>
            </w:tcMar>
            <w:vAlign w:val="center"/>
          </w:tcPr>
          <w:p w:rsidR="002446FF" w:rsidRDefault="00000000">
            <w:pPr>
              <w:keepNext/>
              <w:keepLines/>
              <w:spacing w:after="0" w:line="240" w:lineRule="auto"/>
              <w:jc w:val="right"/>
            </w:pPr>
            <w:r>
              <w:rPr>
                <w:sz w:val="18"/>
              </w:rPr>
              <w:t>71.000,00</w:t>
            </w:r>
          </w:p>
        </w:tc>
        <w:tc>
          <w:tcPr>
            <w:tcW w:w="1860" w:type="dxa"/>
            <w:tcMar>
              <w:top w:w="0" w:type="dxa"/>
              <w:bottom w:w="0" w:type="dxa"/>
            </w:tcMar>
            <w:vAlign w:val="center"/>
          </w:tcPr>
          <w:p w:rsidR="002446FF" w:rsidRDefault="00000000">
            <w:pPr>
              <w:keepNext/>
              <w:keepLines/>
              <w:spacing w:after="0" w:line="240" w:lineRule="auto"/>
              <w:jc w:val="right"/>
            </w:pPr>
            <w:r>
              <w:rPr>
                <w:sz w:val="18"/>
              </w:rPr>
              <w:t>145.616,33</w:t>
            </w:r>
          </w:p>
        </w:tc>
        <w:tc>
          <w:tcPr>
            <w:tcW w:w="700" w:type="dxa"/>
            <w:tcMar>
              <w:top w:w="0" w:type="dxa"/>
              <w:bottom w:w="0" w:type="dxa"/>
            </w:tcMar>
            <w:vAlign w:val="center"/>
          </w:tcPr>
          <w:p w:rsidR="002446FF" w:rsidRDefault="00000000">
            <w:pPr>
              <w:keepNext/>
              <w:keepLines/>
              <w:spacing w:after="0" w:line="240" w:lineRule="auto"/>
              <w:jc w:val="right"/>
            </w:pPr>
            <w:r>
              <w:rPr>
                <w:sz w:val="18"/>
              </w:rPr>
              <w:t>205,1</w:t>
            </w:r>
          </w:p>
        </w:tc>
      </w:tr>
    </w:tbl>
    <w:p w:rsidR="002446FF" w:rsidRDefault="002446FF">
      <w:pPr>
        <w:spacing w:after="0"/>
      </w:pPr>
    </w:p>
    <w:p w:rsidR="002446FF" w:rsidRDefault="00000000">
      <w:r>
        <w:t>Tijekom 2025. godine kupljeno je kombi vozilo za Poljoprivrednu i veterinarsku školu Osijek i tri automobila za potrebe Osječko-baranjske županije dok su 2024. godine kupljena dva automobila za županijske potrebe.</w:t>
      </w:r>
    </w:p>
    <w:p w:rsidR="002446FF" w:rsidRDefault="002446FF"/>
    <w:p w:rsidR="002446FF" w:rsidRDefault="00000000">
      <w:pPr>
        <w:keepNext/>
        <w:spacing w:line="240" w:lineRule="auto"/>
        <w:jc w:val="center"/>
      </w:pPr>
      <w:r>
        <w:rPr>
          <w:sz w:val="28"/>
        </w:rPr>
        <w:t>Bilješka 49.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4262</w:t>
            </w:r>
          </w:p>
        </w:tc>
        <w:tc>
          <w:tcPr>
            <w:tcW w:w="3180" w:type="dxa"/>
            <w:tcMar>
              <w:top w:w="0" w:type="dxa"/>
              <w:bottom w:w="0" w:type="dxa"/>
            </w:tcMar>
            <w:vAlign w:val="center"/>
          </w:tcPr>
          <w:p w:rsidR="002446FF" w:rsidRDefault="00000000">
            <w:pPr>
              <w:keepNext/>
              <w:keepLines/>
              <w:spacing w:after="0" w:line="240" w:lineRule="auto"/>
            </w:pPr>
            <w:r>
              <w:rPr>
                <w:sz w:val="18"/>
              </w:rPr>
              <w:t>Ulaganja u računalne programe</w:t>
            </w:r>
          </w:p>
        </w:tc>
        <w:tc>
          <w:tcPr>
            <w:tcW w:w="700" w:type="dxa"/>
            <w:tcMar>
              <w:top w:w="0" w:type="dxa"/>
              <w:bottom w:w="0" w:type="dxa"/>
            </w:tcMar>
            <w:vAlign w:val="center"/>
          </w:tcPr>
          <w:p w:rsidR="002446FF" w:rsidRDefault="00000000">
            <w:pPr>
              <w:keepNext/>
              <w:keepLines/>
              <w:spacing w:after="0" w:line="240" w:lineRule="auto"/>
            </w:pPr>
            <w:r>
              <w:rPr>
                <w:sz w:val="18"/>
              </w:rPr>
              <w:t>4262</w:t>
            </w:r>
          </w:p>
        </w:tc>
        <w:tc>
          <w:tcPr>
            <w:tcW w:w="1860" w:type="dxa"/>
            <w:tcMar>
              <w:top w:w="0" w:type="dxa"/>
              <w:bottom w:w="0" w:type="dxa"/>
            </w:tcMar>
            <w:vAlign w:val="center"/>
          </w:tcPr>
          <w:p w:rsidR="002446FF" w:rsidRDefault="00000000">
            <w:pPr>
              <w:keepNext/>
              <w:keepLines/>
              <w:spacing w:after="0" w:line="240" w:lineRule="auto"/>
              <w:jc w:val="right"/>
            </w:pPr>
            <w:r>
              <w:rPr>
                <w:sz w:val="18"/>
              </w:rPr>
              <w:t>71.023,75</w:t>
            </w:r>
          </w:p>
        </w:tc>
        <w:tc>
          <w:tcPr>
            <w:tcW w:w="1860" w:type="dxa"/>
            <w:tcMar>
              <w:top w:w="0" w:type="dxa"/>
              <w:bottom w:w="0" w:type="dxa"/>
            </w:tcMar>
            <w:vAlign w:val="center"/>
          </w:tcPr>
          <w:p w:rsidR="002446FF" w:rsidRDefault="00000000">
            <w:pPr>
              <w:keepNext/>
              <w:keepLines/>
              <w:spacing w:after="0" w:line="240" w:lineRule="auto"/>
              <w:jc w:val="right"/>
            </w:pPr>
            <w:r>
              <w:rPr>
                <w:sz w:val="18"/>
              </w:rPr>
              <w:t>14.975,00</w:t>
            </w:r>
          </w:p>
        </w:tc>
        <w:tc>
          <w:tcPr>
            <w:tcW w:w="700" w:type="dxa"/>
            <w:tcMar>
              <w:top w:w="0" w:type="dxa"/>
              <w:bottom w:w="0" w:type="dxa"/>
            </w:tcMar>
            <w:vAlign w:val="center"/>
          </w:tcPr>
          <w:p w:rsidR="002446FF" w:rsidRDefault="00000000">
            <w:pPr>
              <w:keepNext/>
              <w:keepLines/>
              <w:spacing w:after="0" w:line="240" w:lineRule="auto"/>
              <w:jc w:val="right"/>
            </w:pPr>
            <w:r>
              <w:rPr>
                <w:sz w:val="18"/>
              </w:rPr>
              <w:t>21,1</w:t>
            </w:r>
          </w:p>
        </w:tc>
      </w:tr>
    </w:tbl>
    <w:p w:rsidR="002446FF" w:rsidRDefault="002446FF">
      <w:pPr>
        <w:spacing w:after="0"/>
      </w:pPr>
    </w:p>
    <w:p w:rsidR="002446FF" w:rsidRDefault="00000000">
      <w:r>
        <w:t>Tijekom 2024. godine u odnosu na 2025. godinu uložilo se više sredstava provedbom programa Unaprjeđenje učinkovitosti i kvalitete rada Županije.</w:t>
      </w:r>
    </w:p>
    <w:p w:rsidR="002446FF" w:rsidRDefault="002446FF"/>
    <w:p w:rsidR="002446FF" w:rsidRDefault="00000000">
      <w:pPr>
        <w:keepNext/>
        <w:spacing w:line="240" w:lineRule="auto"/>
        <w:jc w:val="center"/>
      </w:pPr>
      <w:r>
        <w:rPr>
          <w:sz w:val="28"/>
        </w:rPr>
        <w:t>Bilješka 50.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4264</w:t>
            </w:r>
          </w:p>
        </w:tc>
        <w:tc>
          <w:tcPr>
            <w:tcW w:w="3180" w:type="dxa"/>
            <w:tcMar>
              <w:top w:w="0" w:type="dxa"/>
              <w:bottom w:w="0" w:type="dxa"/>
            </w:tcMar>
            <w:vAlign w:val="center"/>
          </w:tcPr>
          <w:p w:rsidR="002446FF" w:rsidRDefault="00000000">
            <w:pPr>
              <w:keepNext/>
              <w:keepLines/>
              <w:spacing w:after="0" w:line="240" w:lineRule="auto"/>
            </w:pPr>
            <w:r>
              <w:rPr>
                <w:sz w:val="18"/>
              </w:rPr>
              <w:t>Ostala nematerijalna proizvedena imovina</w:t>
            </w:r>
          </w:p>
        </w:tc>
        <w:tc>
          <w:tcPr>
            <w:tcW w:w="700" w:type="dxa"/>
            <w:tcMar>
              <w:top w:w="0" w:type="dxa"/>
              <w:bottom w:w="0" w:type="dxa"/>
            </w:tcMar>
            <w:vAlign w:val="center"/>
          </w:tcPr>
          <w:p w:rsidR="002446FF" w:rsidRDefault="00000000">
            <w:pPr>
              <w:keepNext/>
              <w:keepLines/>
              <w:spacing w:after="0" w:line="240" w:lineRule="auto"/>
            </w:pPr>
            <w:r>
              <w:rPr>
                <w:sz w:val="18"/>
              </w:rPr>
              <w:t>4264</w:t>
            </w:r>
          </w:p>
        </w:tc>
        <w:tc>
          <w:tcPr>
            <w:tcW w:w="1860" w:type="dxa"/>
            <w:tcMar>
              <w:top w:w="0" w:type="dxa"/>
              <w:bottom w:w="0" w:type="dxa"/>
            </w:tcMar>
            <w:vAlign w:val="center"/>
          </w:tcPr>
          <w:p w:rsidR="002446FF" w:rsidRDefault="00000000">
            <w:pPr>
              <w:keepNext/>
              <w:keepLines/>
              <w:spacing w:after="0" w:line="240" w:lineRule="auto"/>
              <w:jc w:val="right"/>
            </w:pPr>
            <w:r>
              <w:rPr>
                <w:sz w:val="18"/>
              </w:rPr>
              <w:t>73.586,31</w:t>
            </w:r>
          </w:p>
        </w:tc>
        <w:tc>
          <w:tcPr>
            <w:tcW w:w="1860" w:type="dxa"/>
            <w:tcMar>
              <w:top w:w="0" w:type="dxa"/>
              <w:bottom w:w="0" w:type="dxa"/>
            </w:tcMar>
            <w:vAlign w:val="center"/>
          </w:tcPr>
          <w:p w:rsidR="002446FF" w:rsidRDefault="00000000">
            <w:pPr>
              <w:keepNext/>
              <w:keepLines/>
              <w:spacing w:after="0" w:line="240" w:lineRule="auto"/>
              <w:jc w:val="right"/>
            </w:pPr>
            <w:r>
              <w:rPr>
                <w:sz w:val="18"/>
              </w:rPr>
              <w:t>7.487,50</w:t>
            </w:r>
          </w:p>
        </w:tc>
        <w:tc>
          <w:tcPr>
            <w:tcW w:w="700" w:type="dxa"/>
            <w:tcMar>
              <w:top w:w="0" w:type="dxa"/>
              <w:bottom w:w="0" w:type="dxa"/>
            </w:tcMar>
            <w:vAlign w:val="center"/>
          </w:tcPr>
          <w:p w:rsidR="002446FF" w:rsidRDefault="00000000">
            <w:pPr>
              <w:keepNext/>
              <w:keepLines/>
              <w:spacing w:after="0" w:line="240" w:lineRule="auto"/>
              <w:jc w:val="right"/>
            </w:pPr>
            <w:r>
              <w:rPr>
                <w:sz w:val="18"/>
              </w:rPr>
              <w:t>10,2</w:t>
            </w:r>
          </w:p>
        </w:tc>
      </w:tr>
    </w:tbl>
    <w:p w:rsidR="002446FF" w:rsidRDefault="002446FF">
      <w:pPr>
        <w:spacing w:after="0"/>
      </w:pPr>
    </w:p>
    <w:p w:rsidR="002446FF" w:rsidRDefault="00000000">
      <w:r>
        <w:lastRenderedPageBreak/>
        <w:t>Tijekom 2024. godine u odnosu na 2025. godinu uložilo se više sredstava provedbom programa Izgradnja, rekonstrukcija i opremanje objekata i infrastrukture, aktivnost Projekt CDŠ Hrvatska, Ususret održivom, pravednom i učinkovitom obrazovanju iz zajma Svjetske banke br. 9303-HR.</w:t>
      </w:r>
    </w:p>
    <w:p w:rsidR="002446FF" w:rsidRDefault="002446FF"/>
    <w:p w:rsidR="002446FF" w:rsidRDefault="00000000">
      <w:pPr>
        <w:keepNext/>
        <w:spacing w:line="240" w:lineRule="auto"/>
        <w:jc w:val="center"/>
      </w:pPr>
      <w:r>
        <w:rPr>
          <w:sz w:val="28"/>
        </w:rPr>
        <w:t>Bilješka 51.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451</w:t>
            </w:r>
          </w:p>
        </w:tc>
        <w:tc>
          <w:tcPr>
            <w:tcW w:w="3180" w:type="dxa"/>
            <w:tcMar>
              <w:top w:w="0" w:type="dxa"/>
              <w:bottom w:w="0" w:type="dxa"/>
            </w:tcMar>
            <w:vAlign w:val="center"/>
          </w:tcPr>
          <w:p w:rsidR="002446FF" w:rsidRDefault="00000000">
            <w:pPr>
              <w:keepNext/>
              <w:keepLines/>
              <w:spacing w:after="0" w:line="240" w:lineRule="auto"/>
            </w:pPr>
            <w:r>
              <w:rPr>
                <w:sz w:val="18"/>
              </w:rPr>
              <w:t>Dodatna ulaganja na građevinskim objektima</w:t>
            </w:r>
          </w:p>
        </w:tc>
        <w:tc>
          <w:tcPr>
            <w:tcW w:w="700" w:type="dxa"/>
            <w:tcMar>
              <w:top w:w="0" w:type="dxa"/>
              <w:bottom w:w="0" w:type="dxa"/>
            </w:tcMar>
            <w:vAlign w:val="center"/>
          </w:tcPr>
          <w:p w:rsidR="002446FF" w:rsidRDefault="00000000">
            <w:pPr>
              <w:keepNext/>
              <w:keepLines/>
              <w:spacing w:after="0" w:line="240" w:lineRule="auto"/>
            </w:pPr>
            <w:r>
              <w:rPr>
                <w:sz w:val="18"/>
              </w:rPr>
              <w:t>451</w:t>
            </w:r>
          </w:p>
        </w:tc>
        <w:tc>
          <w:tcPr>
            <w:tcW w:w="1860" w:type="dxa"/>
            <w:tcMar>
              <w:top w:w="0" w:type="dxa"/>
              <w:bottom w:w="0" w:type="dxa"/>
            </w:tcMar>
            <w:vAlign w:val="center"/>
          </w:tcPr>
          <w:p w:rsidR="002446FF" w:rsidRDefault="00000000">
            <w:pPr>
              <w:keepNext/>
              <w:keepLines/>
              <w:spacing w:after="0" w:line="240" w:lineRule="auto"/>
              <w:jc w:val="right"/>
            </w:pPr>
            <w:r>
              <w:rPr>
                <w:sz w:val="18"/>
              </w:rPr>
              <w:t>1.013.694,81</w:t>
            </w:r>
          </w:p>
        </w:tc>
        <w:tc>
          <w:tcPr>
            <w:tcW w:w="1860" w:type="dxa"/>
            <w:tcMar>
              <w:top w:w="0" w:type="dxa"/>
              <w:bottom w:w="0" w:type="dxa"/>
            </w:tcMar>
            <w:vAlign w:val="center"/>
          </w:tcPr>
          <w:p w:rsidR="002446FF" w:rsidRDefault="00000000">
            <w:pPr>
              <w:keepNext/>
              <w:keepLines/>
              <w:spacing w:after="0" w:line="240" w:lineRule="auto"/>
              <w:jc w:val="right"/>
            </w:pPr>
            <w:r>
              <w:rPr>
                <w:sz w:val="18"/>
              </w:rPr>
              <w:t>1.762.439,53</w:t>
            </w:r>
          </w:p>
        </w:tc>
        <w:tc>
          <w:tcPr>
            <w:tcW w:w="700" w:type="dxa"/>
            <w:tcMar>
              <w:top w:w="0" w:type="dxa"/>
              <w:bottom w:w="0" w:type="dxa"/>
            </w:tcMar>
            <w:vAlign w:val="center"/>
          </w:tcPr>
          <w:p w:rsidR="002446FF" w:rsidRDefault="00000000">
            <w:pPr>
              <w:keepNext/>
              <w:keepLines/>
              <w:spacing w:after="0" w:line="240" w:lineRule="auto"/>
              <w:jc w:val="right"/>
            </w:pPr>
            <w:r>
              <w:rPr>
                <w:sz w:val="18"/>
              </w:rPr>
              <w:t>173,9</w:t>
            </w:r>
          </w:p>
        </w:tc>
      </w:tr>
    </w:tbl>
    <w:p w:rsidR="002446FF" w:rsidRDefault="002446FF">
      <w:pPr>
        <w:spacing w:after="0"/>
      </w:pPr>
    </w:p>
    <w:p w:rsidR="002446FF" w:rsidRDefault="00000000">
      <w:r>
        <w:t xml:space="preserve">Tijekom 2025. godine u odnosu na 2024. godinu evidentirano je više kapitalnih rashoda ove vrste radi izgradnje, rekonstrukcije i opremanja osnovnih škola za potrebe </w:t>
      </w:r>
      <w:proofErr w:type="spellStart"/>
      <w:r>
        <w:t>jednosmjenskog</w:t>
      </w:r>
      <w:proofErr w:type="spellEnd"/>
      <w:r>
        <w:t xml:space="preserve"> rada i cjelodnevne škole.</w:t>
      </w:r>
    </w:p>
    <w:p w:rsidR="002446FF" w:rsidRDefault="002446FF"/>
    <w:p w:rsidR="002446FF" w:rsidRDefault="00000000">
      <w:pPr>
        <w:keepNext/>
        <w:spacing w:line="240" w:lineRule="auto"/>
        <w:jc w:val="center"/>
      </w:pPr>
      <w:r>
        <w:rPr>
          <w:sz w:val="28"/>
        </w:rPr>
        <w:t>Bilješka 52.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8121</w:t>
            </w:r>
          </w:p>
        </w:tc>
        <w:tc>
          <w:tcPr>
            <w:tcW w:w="3180" w:type="dxa"/>
            <w:tcMar>
              <w:top w:w="0" w:type="dxa"/>
              <w:bottom w:w="0" w:type="dxa"/>
            </w:tcMar>
            <w:vAlign w:val="center"/>
          </w:tcPr>
          <w:p w:rsidR="002446FF" w:rsidRDefault="00000000">
            <w:pPr>
              <w:keepNext/>
              <w:keepLines/>
              <w:spacing w:after="0" w:line="240" w:lineRule="auto"/>
            </w:pPr>
            <w:r>
              <w:rPr>
                <w:sz w:val="18"/>
              </w:rPr>
              <w:t>Povrat zajmova danih neprofitnim organizacijama, građanima i kućanstvima u tuzemstvu</w:t>
            </w:r>
          </w:p>
        </w:tc>
        <w:tc>
          <w:tcPr>
            <w:tcW w:w="700" w:type="dxa"/>
            <w:tcMar>
              <w:top w:w="0" w:type="dxa"/>
              <w:bottom w:w="0" w:type="dxa"/>
            </w:tcMar>
            <w:vAlign w:val="center"/>
          </w:tcPr>
          <w:p w:rsidR="002446FF" w:rsidRDefault="00000000">
            <w:pPr>
              <w:keepNext/>
              <w:keepLines/>
              <w:spacing w:after="0" w:line="240" w:lineRule="auto"/>
            </w:pPr>
            <w:r>
              <w:rPr>
                <w:sz w:val="18"/>
              </w:rPr>
              <w:t>8121</w:t>
            </w:r>
          </w:p>
        </w:tc>
        <w:tc>
          <w:tcPr>
            <w:tcW w:w="1860" w:type="dxa"/>
            <w:tcMar>
              <w:top w:w="0" w:type="dxa"/>
              <w:bottom w:w="0" w:type="dxa"/>
            </w:tcMar>
            <w:vAlign w:val="center"/>
          </w:tcPr>
          <w:p w:rsidR="002446FF" w:rsidRDefault="00000000">
            <w:pPr>
              <w:keepNext/>
              <w:keepLines/>
              <w:spacing w:after="0" w:line="240" w:lineRule="auto"/>
              <w:jc w:val="right"/>
            </w:pPr>
            <w:r>
              <w:rPr>
                <w:sz w:val="18"/>
              </w:rPr>
              <w:t>5.850,22</w:t>
            </w:r>
          </w:p>
        </w:tc>
        <w:tc>
          <w:tcPr>
            <w:tcW w:w="1860" w:type="dxa"/>
            <w:tcMar>
              <w:top w:w="0" w:type="dxa"/>
              <w:bottom w:w="0" w:type="dxa"/>
            </w:tcMar>
            <w:vAlign w:val="center"/>
          </w:tcPr>
          <w:p w:rsidR="002446FF" w:rsidRDefault="00000000">
            <w:pPr>
              <w:keepNext/>
              <w:keepLines/>
              <w:spacing w:after="0" w:line="240" w:lineRule="auto"/>
              <w:jc w:val="right"/>
            </w:pPr>
            <w:r>
              <w:rPr>
                <w:sz w:val="18"/>
              </w:rPr>
              <w:t>9.764,40</w:t>
            </w:r>
          </w:p>
        </w:tc>
        <w:tc>
          <w:tcPr>
            <w:tcW w:w="700" w:type="dxa"/>
            <w:tcMar>
              <w:top w:w="0" w:type="dxa"/>
              <w:bottom w:w="0" w:type="dxa"/>
            </w:tcMar>
            <w:vAlign w:val="center"/>
          </w:tcPr>
          <w:p w:rsidR="002446FF" w:rsidRDefault="00000000">
            <w:pPr>
              <w:keepNext/>
              <w:keepLines/>
              <w:spacing w:after="0" w:line="240" w:lineRule="auto"/>
              <w:jc w:val="right"/>
            </w:pPr>
            <w:r>
              <w:rPr>
                <w:sz w:val="18"/>
              </w:rPr>
              <w:t>166,9</w:t>
            </w:r>
          </w:p>
        </w:tc>
      </w:tr>
    </w:tbl>
    <w:p w:rsidR="002446FF" w:rsidRDefault="002446FF">
      <w:pPr>
        <w:spacing w:after="0"/>
      </w:pPr>
    </w:p>
    <w:p w:rsidR="002446FF" w:rsidRDefault="00000000">
      <w:r>
        <w:t>Ova vrsta rashoda odnosi se na povrate zajmova za poslijediplomski studij za korisnike koji nisu ispunili ugovorne obveze, zbog čega su dobivena sredstva morali vratiti. O tome ovisi i visina primitaka ove vrste.</w:t>
      </w:r>
    </w:p>
    <w:p w:rsidR="002446FF" w:rsidRDefault="002446FF"/>
    <w:p w:rsidR="002446FF" w:rsidRDefault="00000000">
      <w:pPr>
        <w:keepNext/>
        <w:spacing w:line="240" w:lineRule="auto"/>
        <w:jc w:val="center"/>
      </w:pPr>
      <w:r>
        <w:rPr>
          <w:sz w:val="28"/>
        </w:rPr>
        <w:t>Bilješka 53.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8341</w:t>
            </w:r>
          </w:p>
        </w:tc>
        <w:tc>
          <w:tcPr>
            <w:tcW w:w="3180" w:type="dxa"/>
            <w:tcMar>
              <w:top w:w="0" w:type="dxa"/>
              <w:bottom w:w="0" w:type="dxa"/>
            </w:tcMar>
            <w:vAlign w:val="center"/>
          </w:tcPr>
          <w:p w:rsidR="002446FF" w:rsidRDefault="00000000">
            <w:pPr>
              <w:keepNext/>
              <w:keepLines/>
              <w:spacing w:after="0" w:line="240" w:lineRule="auto"/>
            </w:pPr>
            <w:r>
              <w:rPr>
                <w:sz w:val="18"/>
              </w:rPr>
              <w:t>Dionice i udjeli u glavnici tuzemnih trgovačkih društava izvan javnog sektora</w:t>
            </w:r>
          </w:p>
        </w:tc>
        <w:tc>
          <w:tcPr>
            <w:tcW w:w="700" w:type="dxa"/>
            <w:tcMar>
              <w:top w:w="0" w:type="dxa"/>
              <w:bottom w:w="0" w:type="dxa"/>
            </w:tcMar>
            <w:vAlign w:val="center"/>
          </w:tcPr>
          <w:p w:rsidR="002446FF" w:rsidRDefault="00000000">
            <w:pPr>
              <w:keepNext/>
              <w:keepLines/>
              <w:spacing w:after="0" w:line="240" w:lineRule="auto"/>
            </w:pPr>
            <w:r>
              <w:rPr>
                <w:sz w:val="18"/>
              </w:rPr>
              <w:t>8341</w:t>
            </w:r>
          </w:p>
        </w:tc>
        <w:tc>
          <w:tcPr>
            <w:tcW w:w="1860" w:type="dxa"/>
            <w:tcMar>
              <w:top w:w="0" w:type="dxa"/>
              <w:bottom w:w="0" w:type="dxa"/>
            </w:tcMar>
            <w:vAlign w:val="center"/>
          </w:tcPr>
          <w:p w:rsidR="002446FF" w:rsidRDefault="00000000">
            <w:pPr>
              <w:keepNext/>
              <w:keepLines/>
              <w:spacing w:after="0" w:line="240" w:lineRule="auto"/>
              <w:jc w:val="right"/>
            </w:pPr>
            <w:r>
              <w:rPr>
                <w:sz w:val="18"/>
              </w:rPr>
              <w:t>30.471,37</w:t>
            </w:r>
          </w:p>
        </w:tc>
        <w:tc>
          <w:tcPr>
            <w:tcW w:w="1860" w:type="dxa"/>
            <w:tcMar>
              <w:top w:w="0" w:type="dxa"/>
              <w:bottom w:w="0" w:type="dxa"/>
            </w:tcMar>
            <w:vAlign w:val="center"/>
          </w:tcPr>
          <w:p w:rsidR="002446FF" w:rsidRDefault="00000000">
            <w:pPr>
              <w:keepNext/>
              <w:keepLines/>
              <w:spacing w:after="0" w:line="240" w:lineRule="auto"/>
              <w:jc w:val="right"/>
            </w:pPr>
            <w:r>
              <w:rPr>
                <w:sz w:val="18"/>
              </w:rPr>
              <w:t>4.816,16</w:t>
            </w:r>
          </w:p>
        </w:tc>
        <w:tc>
          <w:tcPr>
            <w:tcW w:w="700" w:type="dxa"/>
            <w:tcMar>
              <w:top w:w="0" w:type="dxa"/>
              <w:bottom w:w="0" w:type="dxa"/>
            </w:tcMar>
            <w:vAlign w:val="center"/>
          </w:tcPr>
          <w:p w:rsidR="002446FF" w:rsidRDefault="00000000">
            <w:pPr>
              <w:keepNext/>
              <w:keepLines/>
              <w:spacing w:after="0" w:line="240" w:lineRule="auto"/>
              <w:jc w:val="right"/>
            </w:pPr>
            <w:r>
              <w:rPr>
                <w:sz w:val="18"/>
              </w:rPr>
              <w:t>15,8</w:t>
            </w:r>
          </w:p>
        </w:tc>
      </w:tr>
    </w:tbl>
    <w:p w:rsidR="002446FF" w:rsidRDefault="002446FF">
      <w:pPr>
        <w:spacing w:after="0"/>
      </w:pPr>
    </w:p>
    <w:p w:rsidR="002446FF" w:rsidRDefault="00000000">
      <w:r>
        <w:t xml:space="preserve">Primici ove vrste odnose se na primitke u obliku obročne otplate dionica i udjela u glavnici za trgovačka društva: </w:t>
      </w:r>
      <w:proofErr w:type="spellStart"/>
      <w:r>
        <w:t>Cesting</w:t>
      </w:r>
      <w:proofErr w:type="spellEnd"/>
      <w:r>
        <w:t xml:space="preserve"> d.o.o., Vuka d.d. za vodno gospodarstvo i graditeljstvo i </w:t>
      </w:r>
      <w:proofErr w:type="spellStart"/>
      <w:r>
        <w:t>Karašica</w:t>
      </w:r>
      <w:proofErr w:type="spellEnd"/>
      <w:r>
        <w:t>-Vučica d.d. za vodno gospodarstvo i graditeljstvo. Evidentirano smanjenje indeksa je iz razloga jer sukladno ugovorima završava rok otplate.</w:t>
      </w:r>
    </w:p>
    <w:p w:rsidR="002446FF" w:rsidRDefault="002446FF"/>
    <w:p w:rsidR="002446FF" w:rsidRDefault="00000000">
      <w:pPr>
        <w:keepNext/>
        <w:spacing w:line="240" w:lineRule="auto"/>
        <w:jc w:val="center"/>
      </w:pPr>
      <w:r>
        <w:rPr>
          <w:sz w:val="28"/>
        </w:rPr>
        <w:lastRenderedPageBreak/>
        <w:t>Bilješka 54.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5321</w:t>
            </w:r>
          </w:p>
        </w:tc>
        <w:tc>
          <w:tcPr>
            <w:tcW w:w="3180" w:type="dxa"/>
            <w:tcMar>
              <w:top w:w="0" w:type="dxa"/>
              <w:bottom w:w="0" w:type="dxa"/>
            </w:tcMar>
            <w:vAlign w:val="center"/>
          </w:tcPr>
          <w:p w:rsidR="002446FF" w:rsidRDefault="00000000">
            <w:pPr>
              <w:keepNext/>
              <w:keepLines/>
              <w:spacing w:after="0" w:line="240" w:lineRule="auto"/>
            </w:pPr>
            <w:r>
              <w:rPr>
                <w:sz w:val="18"/>
              </w:rPr>
              <w:t>Dionice i udjeli u glavnici trgovačkih društava u javnom sektoru</w:t>
            </w:r>
          </w:p>
        </w:tc>
        <w:tc>
          <w:tcPr>
            <w:tcW w:w="700" w:type="dxa"/>
            <w:tcMar>
              <w:top w:w="0" w:type="dxa"/>
              <w:bottom w:w="0" w:type="dxa"/>
            </w:tcMar>
            <w:vAlign w:val="center"/>
          </w:tcPr>
          <w:p w:rsidR="002446FF" w:rsidRDefault="00000000">
            <w:pPr>
              <w:keepNext/>
              <w:keepLines/>
              <w:spacing w:after="0" w:line="240" w:lineRule="auto"/>
            </w:pPr>
            <w:r>
              <w:rPr>
                <w:sz w:val="18"/>
              </w:rPr>
              <w:t>5321</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94.671,33</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Tijekom 2025. godine, temeljem Ugovora o prijenosu poslovnog udjela u trgovačkom društvu Slobodna zona Osijek, evidentiran je izdatak u iznosu od 94.671,33 eura. 2024. godine nije bilo stjecanja poslovnih udjela.</w:t>
      </w:r>
    </w:p>
    <w:p w:rsidR="002446FF" w:rsidRDefault="002446FF"/>
    <w:p w:rsidR="002446FF" w:rsidRDefault="00000000">
      <w:pPr>
        <w:keepNext/>
        <w:spacing w:line="240" w:lineRule="auto"/>
        <w:jc w:val="center"/>
      </w:pPr>
      <w:r>
        <w:rPr>
          <w:b/>
          <w:sz w:val="28"/>
        </w:rPr>
        <w:t>Bilanca</w:t>
      </w:r>
    </w:p>
    <w:p w:rsidR="002446FF" w:rsidRDefault="00000000">
      <w:pPr>
        <w:keepNext/>
        <w:spacing w:line="240" w:lineRule="auto"/>
        <w:jc w:val="center"/>
      </w:pPr>
      <w:r>
        <w:rPr>
          <w:sz w:val="28"/>
        </w:rPr>
        <w:t>Bilješka 55.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012</w:t>
            </w:r>
          </w:p>
        </w:tc>
        <w:tc>
          <w:tcPr>
            <w:tcW w:w="3180" w:type="dxa"/>
            <w:tcMar>
              <w:top w:w="0" w:type="dxa"/>
              <w:bottom w:w="0" w:type="dxa"/>
            </w:tcMar>
            <w:vAlign w:val="center"/>
          </w:tcPr>
          <w:p w:rsidR="002446FF" w:rsidRDefault="00000000">
            <w:pPr>
              <w:keepNext/>
              <w:keepLines/>
              <w:spacing w:after="0" w:line="240" w:lineRule="auto"/>
            </w:pPr>
            <w:r>
              <w:rPr>
                <w:sz w:val="18"/>
              </w:rPr>
              <w:t>Nematerijalna imovina</w:t>
            </w:r>
          </w:p>
        </w:tc>
        <w:tc>
          <w:tcPr>
            <w:tcW w:w="700" w:type="dxa"/>
            <w:tcMar>
              <w:top w:w="0" w:type="dxa"/>
              <w:bottom w:w="0" w:type="dxa"/>
            </w:tcMar>
            <w:vAlign w:val="center"/>
          </w:tcPr>
          <w:p w:rsidR="002446FF" w:rsidRDefault="00000000">
            <w:pPr>
              <w:keepNext/>
              <w:keepLines/>
              <w:spacing w:after="0" w:line="240" w:lineRule="auto"/>
            </w:pPr>
            <w:r>
              <w:rPr>
                <w:sz w:val="18"/>
              </w:rPr>
              <w:t>012</w:t>
            </w:r>
          </w:p>
        </w:tc>
        <w:tc>
          <w:tcPr>
            <w:tcW w:w="1860" w:type="dxa"/>
            <w:tcMar>
              <w:top w:w="0" w:type="dxa"/>
              <w:bottom w:w="0" w:type="dxa"/>
            </w:tcMar>
            <w:vAlign w:val="center"/>
          </w:tcPr>
          <w:p w:rsidR="002446FF" w:rsidRDefault="00000000">
            <w:pPr>
              <w:keepNext/>
              <w:keepLines/>
              <w:spacing w:after="0" w:line="240" w:lineRule="auto"/>
              <w:jc w:val="right"/>
            </w:pPr>
            <w:r>
              <w:rPr>
                <w:sz w:val="18"/>
              </w:rPr>
              <w:t>1.818.217,57</w:t>
            </w:r>
          </w:p>
        </w:tc>
        <w:tc>
          <w:tcPr>
            <w:tcW w:w="1860" w:type="dxa"/>
            <w:tcMar>
              <w:top w:w="0" w:type="dxa"/>
              <w:bottom w:w="0" w:type="dxa"/>
            </w:tcMar>
            <w:vAlign w:val="center"/>
          </w:tcPr>
          <w:p w:rsidR="002446FF" w:rsidRDefault="00000000">
            <w:pPr>
              <w:keepNext/>
              <w:keepLines/>
              <w:spacing w:after="0" w:line="240" w:lineRule="auto"/>
              <w:jc w:val="right"/>
            </w:pPr>
            <w:r>
              <w:rPr>
                <w:sz w:val="18"/>
              </w:rPr>
              <w:t>64.735,09</w:t>
            </w:r>
          </w:p>
        </w:tc>
        <w:tc>
          <w:tcPr>
            <w:tcW w:w="700" w:type="dxa"/>
            <w:tcMar>
              <w:top w:w="0" w:type="dxa"/>
              <w:bottom w:w="0" w:type="dxa"/>
            </w:tcMar>
            <w:vAlign w:val="center"/>
          </w:tcPr>
          <w:p w:rsidR="002446FF" w:rsidRDefault="00000000">
            <w:pPr>
              <w:keepNext/>
              <w:keepLines/>
              <w:spacing w:after="0" w:line="240" w:lineRule="auto"/>
              <w:jc w:val="right"/>
            </w:pPr>
            <w:r>
              <w:rPr>
                <w:sz w:val="18"/>
              </w:rPr>
              <w:t>3,6</w:t>
            </w:r>
          </w:p>
        </w:tc>
      </w:tr>
    </w:tbl>
    <w:p w:rsidR="002446FF" w:rsidRDefault="002446FF">
      <w:pPr>
        <w:spacing w:after="0"/>
      </w:pPr>
    </w:p>
    <w:p w:rsidR="002446FF" w:rsidRDefault="00000000">
      <w:r>
        <w:t xml:space="preserve">Tijekom 2025. godine evidentirana su </w:t>
      </w:r>
      <w:proofErr w:type="spellStart"/>
      <w:r>
        <w:t>preknjiženja</w:t>
      </w:r>
      <w:proofErr w:type="spellEnd"/>
      <w:r>
        <w:t xml:space="preserve"> sukladno </w:t>
      </w:r>
      <w:proofErr w:type="spellStart"/>
      <w:r>
        <w:t>uskladama</w:t>
      </w:r>
      <w:proofErr w:type="spellEnd"/>
      <w:r>
        <w:t xml:space="preserve"> analitičkih evidencija te je imovina iskazana na kontu koji odgovara njenoj stvarnoj prirodi (Prostorno prometna studija Hidrotehnički sustav). Sukladno </w:t>
      </w:r>
      <w:proofErr w:type="spellStart"/>
      <w:r>
        <w:t>preknjiženjima</w:t>
      </w:r>
      <w:proofErr w:type="spellEnd"/>
      <w:r>
        <w:t>, evidentiran je ispravak vrijednosti po pripadajućoj stopi ispravka.</w:t>
      </w:r>
    </w:p>
    <w:p w:rsidR="002446FF" w:rsidRDefault="002446FF"/>
    <w:p w:rsidR="002446FF" w:rsidRDefault="00000000">
      <w:pPr>
        <w:keepNext/>
        <w:spacing w:line="240" w:lineRule="auto"/>
        <w:jc w:val="center"/>
      </w:pPr>
      <w:r>
        <w:rPr>
          <w:sz w:val="28"/>
        </w:rPr>
        <w:t>Bilješka 56.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0214</w:t>
            </w:r>
          </w:p>
        </w:tc>
        <w:tc>
          <w:tcPr>
            <w:tcW w:w="3180" w:type="dxa"/>
            <w:tcMar>
              <w:top w:w="0" w:type="dxa"/>
              <w:bottom w:w="0" w:type="dxa"/>
            </w:tcMar>
            <w:vAlign w:val="center"/>
          </w:tcPr>
          <w:p w:rsidR="002446FF" w:rsidRDefault="00000000">
            <w:pPr>
              <w:keepNext/>
              <w:keepLines/>
              <w:spacing w:after="0" w:line="240" w:lineRule="auto"/>
            </w:pPr>
            <w:r>
              <w:rPr>
                <w:sz w:val="18"/>
              </w:rPr>
              <w:t>Ostali građevinski objekti</w:t>
            </w:r>
          </w:p>
        </w:tc>
        <w:tc>
          <w:tcPr>
            <w:tcW w:w="700" w:type="dxa"/>
            <w:tcMar>
              <w:top w:w="0" w:type="dxa"/>
              <w:bottom w:w="0" w:type="dxa"/>
            </w:tcMar>
            <w:vAlign w:val="center"/>
          </w:tcPr>
          <w:p w:rsidR="002446FF" w:rsidRDefault="00000000">
            <w:pPr>
              <w:keepNext/>
              <w:keepLines/>
              <w:spacing w:after="0" w:line="240" w:lineRule="auto"/>
            </w:pPr>
            <w:r>
              <w:rPr>
                <w:sz w:val="18"/>
              </w:rPr>
              <w:t>0214</w:t>
            </w:r>
          </w:p>
        </w:tc>
        <w:tc>
          <w:tcPr>
            <w:tcW w:w="1860" w:type="dxa"/>
            <w:tcMar>
              <w:top w:w="0" w:type="dxa"/>
              <w:bottom w:w="0" w:type="dxa"/>
            </w:tcMar>
            <w:vAlign w:val="center"/>
          </w:tcPr>
          <w:p w:rsidR="002446FF" w:rsidRDefault="00000000">
            <w:pPr>
              <w:keepNext/>
              <w:keepLines/>
              <w:spacing w:after="0" w:line="240" w:lineRule="auto"/>
              <w:jc w:val="right"/>
            </w:pPr>
            <w:r>
              <w:rPr>
                <w:sz w:val="18"/>
              </w:rPr>
              <w:t>7.966.875,22</w:t>
            </w:r>
          </w:p>
        </w:tc>
        <w:tc>
          <w:tcPr>
            <w:tcW w:w="1860" w:type="dxa"/>
            <w:tcMar>
              <w:top w:w="0" w:type="dxa"/>
              <w:bottom w:w="0" w:type="dxa"/>
            </w:tcMar>
            <w:vAlign w:val="center"/>
          </w:tcPr>
          <w:p w:rsidR="002446FF" w:rsidRDefault="00000000">
            <w:pPr>
              <w:keepNext/>
              <w:keepLines/>
              <w:spacing w:after="0" w:line="240" w:lineRule="auto"/>
              <w:jc w:val="right"/>
            </w:pPr>
            <w:r>
              <w:rPr>
                <w:sz w:val="18"/>
              </w:rPr>
              <w:t>11.567.382,15</w:t>
            </w:r>
          </w:p>
        </w:tc>
        <w:tc>
          <w:tcPr>
            <w:tcW w:w="700" w:type="dxa"/>
            <w:tcMar>
              <w:top w:w="0" w:type="dxa"/>
              <w:bottom w:w="0" w:type="dxa"/>
            </w:tcMar>
            <w:vAlign w:val="center"/>
          </w:tcPr>
          <w:p w:rsidR="002446FF" w:rsidRDefault="00000000">
            <w:pPr>
              <w:keepNext/>
              <w:keepLines/>
              <w:spacing w:after="0" w:line="240" w:lineRule="auto"/>
              <w:jc w:val="right"/>
            </w:pPr>
            <w:r>
              <w:rPr>
                <w:sz w:val="18"/>
              </w:rPr>
              <w:t>145,2</w:t>
            </w:r>
          </w:p>
        </w:tc>
      </w:tr>
    </w:tbl>
    <w:p w:rsidR="002446FF" w:rsidRDefault="002446FF">
      <w:pPr>
        <w:spacing w:after="0"/>
      </w:pPr>
    </w:p>
    <w:p w:rsidR="002446FF" w:rsidRDefault="00000000">
      <w:r>
        <w:t>Tijekom 2025. godine evidentirano je stavljanje imovine u uporabu po završetku ulaganja u Sustav navodnjavanja Gat (proširenje, nadogradnja) u iznosu od 3.587.072,35 eura.</w:t>
      </w:r>
    </w:p>
    <w:p w:rsidR="002446FF" w:rsidRDefault="002446FF"/>
    <w:p w:rsidR="002446FF" w:rsidRDefault="00000000">
      <w:pPr>
        <w:keepNext/>
        <w:spacing w:line="240" w:lineRule="auto"/>
        <w:jc w:val="center"/>
      </w:pPr>
      <w:r>
        <w:rPr>
          <w:sz w:val="28"/>
        </w:rPr>
        <w:t>Bilješka 57.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0231</w:t>
            </w:r>
          </w:p>
        </w:tc>
        <w:tc>
          <w:tcPr>
            <w:tcW w:w="3180" w:type="dxa"/>
            <w:tcMar>
              <w:top w:w="0" w:type="dxa"/>
              <w:bottom w:w="0" w:type="dxa"/>
            </w:tcMar>
            <w:vAlign w:val="center"/>
          </w:tcPr>
          <w:p w:rsidR="002446FF" w:rsidRDefault="00000000">
            <w:pPr>
              <w:keepNext/>
              <w:keepLines/>
              <w:spacing w:after="0" w:line="240" w:lineRule="auto"/>
            </w:pPr>
            <w:r>
              <w:rPr>
                <w:sz w:val="18"/>
              </w:rPr>
              <w:t>Prijevozna sredstva u cestovnom prometu</w:t>
            </w:r>
          </w:p>
        </w:tc>
        <w:tc>
          <w:tcPr>
            <w:tcW w:w="700" w:type="dxa"/>
            <w:tcMar>
              <w:top w:w="0" w:type="dxa"/>
              <w:bottom w:w="0" w:type="dxa"/>
            </w:tcMar>
            <w:vAlign w:val="center"/>
          </w:tcPr>
          <w:p w:rsidR="002446FF" w:rsidRDefault="00000000">
            <w:pPr>
              <w:keepNext/>
              <w:keepLines/>
              <w:spacing w:after="0" w:line="240" w:lineRule="auto"/>
            </w:pPr>
            <w:r>
              <w:rPr>
                <w:sz w:val="18"/>
              </w:rPr>
              <w:t>0231</w:t>
            </w:r>
          </w:p>
        </w:tc>
        <w:tc>
          <w:tcPr>
            <w:tcW w:w="1860" w:type="dxa"/>
            <w:tcMar>
              <w:top w:w="0" w:type="dxa"/>
              <w:bottom w:w="0" w:type="dxa"/>
            </w:tcMar>
            <w:vAlign w:val="center"/>
          </w:tcPr>
          <w:p w:rsidR="002446FF" w:rsidRDefault="00000000">
            <w:pPr>
              <w:keepNext/>
              <w:keepLines/>
              <w:spacing w:after="0" w:line="240" w:lineRule="auto"/>
              <w:jc w:val="right"/>
            </w:pPr>
            <w:r>
              <w:rPr>
                <w:sz w:val="18"/>
              </w:rPr>
              <w:t>452.752,17</w:t>
            </w:r>
          </w:p>
        </w:tc>
        <w:tc>
          <w:tcPr>
            <w:tcW w:w="1860" w:type="dxa"/>
            <w:tcMar>
              <w:top w:w="0" w:type="dxa"/>
              <w:bottom w:w="0" w:type="dxa"/>
            </w:tcMar>
            <w:vAlign w:val="center"/>
          </w:tcPr>
          <w:p w:rsidR="002446FF" w:rsidRDefault="00000000">
            <w:pPr>
              <w:keepNext/>
              <w:keepLines/>
              <w:spacing w:after="0" w:line="240" w:lineRule="auto"/>
              <w:jc w:val="right"/>
            </w:pPr>
            <w:r>
              <w:rPr>
                <w:sz w:val="18"/>
              </w:rPr>
              <w:t>556.017,78</w:t>
            </w:r>
          </w:p>
        </w:tc>
        <w:tc>
          <w:tcPr>
            <w:tcW w:w="700" w:type="dxa"/>
            <w:tcMar>
              <w:top w:w="0" w:type="dxa"/>
              <w:bottom w:w="0" w:type="dxa"/>
            </w:tcMar>
            <w:vAlign w:val="center"/>
          </w:tcPr>
          <w:p w:rsidR="002446FF" w:rsidRDefault="00000000">
            <w:pPr>
              <w:keepNext/>
              <w:keepLines/>
              <w:spacing w:after="0" w:line="240" w:lineRule="auto"/>
              <w:jc w:val="right"/>
            </w:pPr>
            <w:r>
              <w:rPr>
                <w:sz w:val="18"/>
              </w:rPr>
              <w:t>122,8</w:t>
            </w:r>
          </w:p>
        </w:tc>
      </w:tr>
    </w:tbl>
    <w:p w:rsidR="002446FF" w:rsidRDefault="002446FF">
      <w:pPr>
        <w:spacing w:after="0"/>
      </w:pPr>
    </w:p>
    <w:p w:rsidR="002446FF" w:rsidRDefault="00000000">
      <w:r>
        <w:t>Tijekom 2025. godine kupljena su tri automobila za potrebe Osječko-baranjske županije.</w:t>
      </w:r>
    </w:p>
    <w:p w:rsidR="002446FF" w:rsidRDefault="002446FF"/>
    <w:p w:rsidR="002446FF" w:rsidRDefault="00000000">
      <w:pPr>
        <w:keepNext/>
        <w:spacing w:line="240" w:lineRule="auto"/>
        <w:jc w:val="center"/>
      </w:pPr>
      <w:r>
        <w:rPr>
          <w:sz w:val="28"/>
        </w:rPr>
        <w:t>Bilješka 58.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0263</w:t>
            </w:r>
          </w:p>
        </w:tc>
        <w:tc>
          <w:tcPr>
            <w:tcW w:w="3180" w:type="dxa"/>
            <w:tcMar>
              <w:top w:w="0" w:type="dxa"/>
              <w:bottom w:w="0" w:type="dxa"/>
            </w:tcMar>
            <w:vAlign w:val="center"/>
          </w:tcPr>
          <w:p w:rsidR="002446FF" w:rsidRDefault="00000000">
            <w:pPr>
              <w:keepNext/>
              <w:keepLines/>
              <w:spacing w:after="0" w:line="240" w:lineRule="auto"/>
            </w:pPr>
            <w:r>
              <w:rPr>
                <w:sz w:val="18"/>
              </w:rPr>
              <w:t>Umjetnička, literarna i znanstvena djela</w:t>
            </w:r>
          </w:p>
        </w:tc>
        <w:tc>
          <w:tcPr>
            <w:tcW w:w="700" w:type="dxa"/>
            <w:tcMar>
              <w:top w:w="0" w:type="dxa"/>
              <w:bottom w:w="0" w:type="dxa"/>
            </w:tcMar>
            <w:vAlign w:val="center"/>
          </w:tcPr>
          <w:p w:rsidR="002446FF" w:rsidRDefault="00000000">
            <w:pPr>
              <w:keepNext/>
              <w:keepLines/>
              <w:spacing w:after="0" w:line="240" w:lineRule="auto"/>
            </w:pPr>
            <w:r>
              <w:rPr>
                <w:sz w:val="18"/>
              </w:rPr>
              <w:t>0263</w:t>
            </w:r>
          </w:p>
        </w:tc>
        <w:tc>
          <w:tcPr>
            <w:tcW w:w="1860" w:type="dxa"/>
            <w:tcMar>
              <w:top w:w="0" w:type="dxa"/>
              <w:bottom w:w="0" w:type="dxa"/>
            </w:tcMar>
            <w:vAlign w:val="center"/>
          </w:tcPr>
          <w:p w:rsidR="002446FF" w:rsidRDefault="00000000">
            <w:pPr>
              <w:keepNext/>
              <w:keepLines/>
              <w:spacing w:after="0" w:line="240" w:lineRule="auto"/>
              <w:jc w:val="right"/>
            </w:pPr>
            <w:r>
              <w:rPr>
                <w:sz w:val="18"/>
              </w:rPr>
              <w:t>494.677,23</w:t>
            </w:r>
          </w:p>
        </w:tc>
        <w:tc>
          <w:tcPr>
            <w:tcW w:w="1860" w:type="dxa"/>
            <w:tcMar>
              <w:top w:w="0" w:type="dxa"/>
              <w:bottom w:w="0" w:type="dxa"/>
            </w:tcMar>
            <w:vAlign w:val="center"/>
          </w:tcPr>
          <w:p w:rsidR="002446FF" w:rsidRDefault="00000000">
            <w:pPr>
              <w:keepNext/>
              <w:keepLines/>
              <w:spacing w:after="0" w:line="240" w:lineRule="auto"/>
              <w:jc w:val="right"/>
            </w:pPr>
            <w:r>
              <w:rPr>
                <w:sz w:val="18"/>
              </w:rPr>
              <w:t>2.049.492,78</w:t>
            </w:r>
          </w:p>
        </w:tc>
        <w:tc>
          <w:tcPr>
            <w:tcW w:w="700" w:type="dxa"/>
            <w:tcMar>
              <w:top w:w="0" w:type="dxa"/>
              <w:bottom w:w="0" w:type="dxa"/>
            </w:tcMar>
            <w:vAlign w:val="center"/>
          </w:tcPr>
          <w:p w:rsidR="002446FF" w:rsidRDefault="00000000">
            <w:pPr>
              <w:keepNext/>
              <w:keepLines/>
              <w:spacing w:after="0" w:line="240" w:lineRule="auto"/>
              <w:jc w:val="right"/>
            </w:pPr>
            <w:r>
              <w:rPr>
                <w:sz w:val="18"/>
              </w:rPr>
              <w:t>414,3</w:t>
            </w:r>
          </w:p>
        </w:tc>
      </w:tr>
    </w:tbl>
    <w:p w:rsidR="002446FF" w:rsidRDefault="002446FF">
      <w:pPr>
        <w:spacing w:after="0"/>
      </w:pPr>
    </w:p>
    <w:p w:rsidR="002446FF" w:rsidRDefault="00000000">
      <w:r>
        <w:t xml:space="preserve">Tijekom 2025. godine evidentirana su </w:t>
      </w:r>
      <w:proofErr w:type="spellStart"/>
      <w:r>
        <w:t>preknjiženja</w:t>
      </w:r>
      <w:proofErr w:type="spellEnd"/>
      <w:r>
        <w:t xml:space="preserve"> sukladno </w:t>
      </w:r>
      <w:proofErr w:type="spellStart"/>
      <w:r>
        <w:t>uskladama</w:t>
      </w:r>
      <w:proofErr w:type="spellEnd"/>
      <w:r>
        <w:t xml:space="preserve"> analitičkih evidencija te je imovina iskazana na kontu koji odgovara njenoj stvarnoj prirodi (Prostorno prometna studija Hidrotehnički sustav). Sukladno </w:t>
      </w:r>
      <w:proofErr w:type="spellStart"/>
      <w:r>
        <w:t>preknjiženjima</w:t>
      </w:r>
      <w:proofErr w:type="spellEnd"/>
      <w:r>
        <w:t>, evidentiran je ispravak vrijednosti po pripadajućoj stopi ispravka.</w:t>
      </w:r>
    </w:p>
    <w:p w:rsidR="002446FF" w:rsidRDefault="002446FF"/>
    <w:p w:rsidR="002446FF" w:rsidRDefault="00000000">
      <w:pPr>
        <w:keepNext/>
        <w:spacing w:line="240" w:lineRule="auto"/>
        <w:jc w:val="center"/>
      </w:pPr>
      <w:r>
        <w:rPr>
          <w:sz w:val="28"/>
        </w:rPr>
        <w:t>Bilješka 59.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051</w:t>
            </w:r>
          </w:p>
        </w:tc>
        <w:tc>
          <w:tcPr>
            <w:tcW w:w="3180" w:type="dxa"/>
            <w:tcMar>
              <w:top w:w="0" w:type="dxa"/>
              <w:bottom w:w="0" w:type="dxa"/>
            </w:tcMar>
            <w:vAlign w:val="center"/>
          </w:tcPr>
          <w:p w:rsidR="002446FF" w:rsidRDefault="00000000">
            <w:pPr>
              <w:keepNext/>
              <w:keepLines/>
              <w:spacing w:after="0" w:line="240" w:lineRule="auto"/>
            </w:pPr>
            <w:r>
              <w:rPr>
                <w:sz w:val="18"/>
              </w:rPr>
              <w:t>Građevinski objekti u pripremi</w:t>
            </w:r>
          </w:p>
        </w:tc>
        <w:tc>
          <w:tcPr>
            <w:tcW w:w="700" w:type="dxa"/>
            <w:tcMar>
              <w:top w:w="0" w:type="dxa"/>
              <w:bottom w:w="0" w:type="dxa"/>
            </w:tcMar>
            <w:vAlign w:val="center"/>
          </w:tcPr>
          <w:p w:rsidR="002446FF" w:rsidRDefault="00000000">
            <w:pPr>
              <w:keepNext/>
              <w:keepLines/>
              <w:spacing w:after="0" w:line="240" w:lineRule="auto"/>
            </w:pPr>
            <w:r>
              <w:rPr>
                <w:sz w:val="18"/>
              </w:rPr>
              <w:t>051</w:t>
            </w:r>
          </w:p>
        </w:tc>
        <w:tc>
          <w:tcPr>
            <w:tcW w:w="1860" w:type="dxa"/>
            <w:tcMar>
              <w:top w:w="0" w:type="dxa"/>
              <w:bottom w:w="0" w:type="dxa"/>
            </w:tcMar>
            <w:vAlign w:val="center"/>
          </w:tcPr>
          <w:p w:rsidR="002446FF" w:rsidRDefault="00000000">
            <w:pPr>
              <w:keepNext/>
              <w:keepLines/>
              <w:spacing w:after="0" w:line="240" w:lineRule="auto"/>
              <w:jc w:val="right"/>
            </w:pPr>
            <w:r>
              <w:rPr>
                <w:sz w:val="18"/>
              </w:rPr>
              <w:t>18.050.872,47</w:t>
            </w:r>
          </w:p>
        </w:tc>
        <w:tc>
          <w:tcPr>
            <w:tcW w:w="1860" w:type="dxa"/>
            <w:tcMar>
              <w:top w:w="0" w:type="dxa"/>
              <w:bottom w:w="0" w:type="dxa"/>
            </w:tcMar>
            <w:vAlign w:val="center"/>
          </w:tcPr>
          <w:p w:rsidR="002446FF" w:rsidRDefault="00000000">
            <w:pPr>
              <w:keepNext/>
              <w:keepLines/>
              <w:spacing w:after="0" w:line="240" w:lineRule="auto"/>
              <w:jc w:val="right"/>
            </w:pPr>
            <w:r>
              <w:rPr>
                <w:sz w:val="18"/>
              </w:rPr>
              <w:t>21.097.882,47</w:t>
            </w:r>
          </w:p>
        </w:tc>
        <w:tc>
          <w:tcPr>
            <w:tcW w:w="700" w:type="dxa"/>
            <w:tcMar>
              <w:top w:w="0" w:type="dxa"/>
              <w:bottom w:w="0" w:type="dxa"/>
            </w:tcMar>
            <w:vAlign w:val="center"/>
          </w:tcPr>
          <w:p w:rsidR="002446FF" w:rsidRDefault="00000000">
            <w:pPr>
              <w:keepNext/>
              <w:keepLines/>
              <w:spacing w:after="0" w:line="240" w:lineRule="auto"/>
              <w:jc w:val="right"/>
            </w:pPr>
            <w:r>
              <w:rPr>
                <w:sz w:val="18"/>
              </w:rPr>
              <w:t>116,9</w:t>
            </w:r>
          </w:p>
        </w:tc>
      </w:tr>
    </w:tbl>
    <w:p w:rsidR="002446FF" w:rsidRDefault="002446FF">
      <w:pPr>
        <w:spacing w:after="0"/>
      </w:pPr>
    </w:p>
    <w:p w:rsidR="002446FF" w:rsidRDefault="00000000">
      <w:r>
        <w:t xml:space="preserve">Tijekom 2025. godine izdvajalo se za kapitalna ulaganja u objekte čija je izgradnja još u tijeku. Najznačajnija su: izgradnja I. Gimnazije, Osijek i infrastrukturna ulaganje u školske ustanove za potrebe prelaska na </w:t>
      </w:r>
      <w:proofErr w:type="spellStart"/>
      <w:r>
        <w:t>jednosmjensku</w:t>
      </w:r>
      <w:proofErr w:type="spellEnd"/>
      <w:r>
        <w:t xml:space="preserve"> nastavu i cjelodnevnu školu.</w:t>
      </w:r>
    </w:p>
    <w:p w:rsidR="002446FF" w:rsidRDefault="002446FF"/>
    <w:p w:rsidR="002446FF" w:rsidRDefault="00000000">
      <w:pPr>
        <w:keepNext/>
        <w:spacing w:line="240" w:lineRule="auto"/>
        <w:jc w:val="center"/>
      </w:pPr>
      <w:r>
        <w:rPr>
          <w:sz w:val="28"/>
        </w:rPr>
        <w:t>Bilješka 60.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052</w:t>
            </w:r>
          </w:p>
        </w:tc>
        <w:tc>
          <w:tcPr>
            <w:tcW w:w="3180" w:type="dxa"/>
            <w:tcMar>
              <w:top w:w="0" w:type="dxa"/>
              <w:bottom w:w="0" w:type="dxa"/>
            </w:tcMar>
            <w:vAlign w:val="center"/>
          </w:tcPr>
          <w:p w:rsidR="002446FF" w:rsidRDefault="00000000">
            <w:pPr>
              <w:keepNext/>
              <w:keepLines/>
              <w:spacing w:after="0" w:line="240" w:lineRule="auto"/>
            </w:pPr>
            <w:r>
              <w:rPr>
                <w:sz w:val="18"/>
              </w:rPr>
              <w:t>Postrojenja i oprema u pripremi</w:t>
            </w:r>
          </w:p>
        </w:tc>
        <w:tc>
          <w:tcPr>
            <w:tcW w:w="700" w:type="dxa"/>
            <w:tcMar>
              <w:top w:w="0" w:type="dxa"/>
              <w:bottom w:w="0" w:type="dxa"/>
            </w:tcMar>
            <w:vAlign w:val="center"/>
          </w:tcPr>
          <w:p w:rsidR="002446FF" w:rsidRDefault="00000000">
            <w:pPr>
              <w:keepNext/>
              <w:keepLines/>
              <w:spacing w:after="0" w:line="240" w:lineRule="auto"/>
            </w:pPr>
            <w:r>
              <w:rPr>
                <w:sz w:val="18"/>
              </w:rPr>
              <w:t>052</w:t>
            </w:r>
          </w:p>
        </w:tc>
        <w:tc>
          <w:tcPr>
            <w:tcW w:w="1860" w:type="dxa"/>
            <w:tcMar>
              <w:top w:w="0" w:type="dxa"/>
              <w:bottom w:w="0" w:type="dxa"/>
            </w:tcMar>
            <w:vAlign w:val="center"/>
          </w:tcPr>
          <w:p w:rsidR="002446FF" w:rsidRDefault="00000000">
            <w:pPr>
              <w:keepNext/>
              <w:keepLines/>
              <w:spacing w:after="0" w:line="240" w:lineRule="auto"/>
              <w:jc w:val="right"/>
            </w:pPr>
            <w:r>
              <w:rPr>
                <w:sz w:val="18"/>
              </w:rPr>
              <w:t>54.164,94</w:t>
            </w:r>
          </w:p>
        </w:tc>
        <w:tc>
          <w:tcPr>
            <w:tcW w:w="1860" w:type="dxa"/>
            <w:tcMar>
              <w:top w:w="0" w:type="dxa"/>
              <w:bottom w:w="0" w:type="dxa"/>
            </w:tcMar>
            <w:vAlign w:val="center"/>
          </w:tcPr>
          <w:p w:rsidR="002446FF" w:rsidRDefault="00000000">
            <w:pPr>
              <w:keepNext/>
              <w:keepLines/>
              <w:spacing w:after="0" w:line="240" w:lineRule="auto"/>
              <w:jc w:val="right"/>
            </w:pPr>
            <w:r>
              <w:rPr>
                <w:sz w:val="18"/>
              </w:rPr>
              <w:t>602.683,55</w:t>
            </w:r>
          </w:p>
        </w:tc>
        <w:tc>
          <w:tcPr>
            <w:tcW w:w="700" w:type="dxa"/>
            <w:tcMar>
              <w:top w:w="0" w:type="dxa"/>
              <w:bottom w:w="0" w:type="dxa"/>
            </w:tcMar>
            <w:vAlign w:val="center"/>
          </w:tcPr>
          <w:p w:rsidR="002446FF" w:rsidRDefault="00000000">
            <w:pPr>
              <w:keepNext/>
              <w:keepLines/>
              <w:spacing w:after="0" w:line="240" w:lineRule="auto"/>
              <w:jc w:val="right"/>
            </w:pPr>
            <w:r>
              <w:rPr>
                <w:sz w:val="18"/>
              </w:rPr>
              <w:t>1112,7</w:t>
            </w:r>
          </w:p>
        </w:tc>
      </w:tr>
    </w:tbl>
    <w:p w:rsidR="002446FF" w:rsidRDefault="002446FF">
      <w:pPr>
        <w:spacing w:after="0"/>
      </w:pPr>
    </w:p>
    <w:p w:rsidR="002446FF" w:rsidRDefault="00000000">
      <w:r>
        <w:t>Tijekom 2025. godine evidentirano veće ulaganja ove vrste odnosi se prvenstveno na potrebe opremanja novoizgrađene zgrade I. Gimnazije, Osijek.</w:t>
      </w:r>
    </w:p>
    <w:p w:rsidR="002446FF" w:rsidRDefault="002446FF"/>
    <w:p w:rsidR="002446FF" w:rsidRDefault="00000000">
      <w:pPr>
        <w:keepNext/>
        <w:spacing w:line="240" w:lineRule="auto"/>
        <w:jc w:val="center"/>
      </w:pPr>
      <w:r>
        <w:rPr>
          <w:sz w:val="28"/>
        </w:rPr>
        <w:t>Bilješka 61.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1112</w:t>
            </w:r>
          </w:p>
        </w:tc>
        <w:tc>
          <w:tcPr>
            <w:tcW w:w="3180" w:type="dxa"/>
            <w:tcMar>
              <w:top w:w="0" w:type="dxa"/>
              <w:bottom w:w="0" w:type="dxa"/>
            </w:tcMar>
            <w:vAlign w:val="center"/>
          </w:tcPr>
          <w:p w:rsidR="002446FF" w:rsidRDefault="00000000">
            <w:pPr>
              <w:keepNext/>
              <w:keepLines/>
              <w:spacing w:after="0" w:line="240" w:lineRule="auto"/>
            </w:pPr>
            <w:r>
              <w:rPr>
                <w:sz w:val="18"/>
              </w:rPr>
              <w:t>Novac na računu kod tuzemnih poslovnih banaka</w:t>
            </w:r>
          </w:p>
        </w:tc>
        <w:tc>
          <w:tcPr>
            <w:tcW w:w="700" w:type="dxa"/>
            <w:tcMar>
              <w:top w:w="0" w:type="dxa"/>
              <w:bottom w:w="0" w:type="dxa"/>
            </w:tcMar>
            <w:vAlign w:val="center"/>
          </w:tcPr>
          <w:p w:rsidR="002446FF" w:rsidRDefault="00000000">
            <w:pPr>
              <w:keepNext/>
              <w:keepLines/>
              <w:spacing w:after="0" w:line="240" w:lineRule="auto"/>
            </w:pPr>
            <w:r>
              <w:rPr>
                <w:sz w:val="18"/>
              </w:rPr>
              <w:t>1112</w:t>
            </w:r>
          </w:p>
        </w:tc>
        <w:tc>
          <w:tcPr>
            <w:tcW w:w="1860" w:type="dxa"/>
            <w:tcMar>
              <w:top w:w="0" w:type="dxa"/>
              <w:bottom w:w="0" w:type="dxa"/>
            </w:tcMar>
            <w:vAlign w:val="center"/>
          </w:tcPr>
          <w:p w:rsidR="002446FF" w:rsidRDefault="00000000">
            <w:pPr>
              <w:keepNext/>
              <w:keepLines/>
              <w:spacing w:after="0" w:line="240" w:lineRule="auto"/>
              <w:jc w:val="right"/>
            </w:pPr>
            <w:r>
              <w:rPr>
                <w:sz w:val="18"/>
              </w:rPr>
              <w:t>17.990.499,36</w:t>
            </w:r>
          </w:p>
        </w:tc>
        <w:tc>
          <w:tcPr>
            <w:tcW w:w="1860" w:type="dxa"/>
            <w:tcMar>
              <w:top w:w="0" w:type="dxa"/>
              <w:bottom w:w="0" w:type="dxa"/>
            </w:tcMar>
            <w:vAlign w:val="center"/>
          </w:tcPr>
          <w:p w:rsidR="002446FF" w:rsidRDefault="00000000">
            <w:pPr>
              <w:keepNext/>
              <w:keepLines/>
              <w:spacing w:after="0" w:line="240" w:lineRule="auto"/>
              <w:jc w:val="right"/>
            </w:pPr>
            <w:r>
              <w:rPr>
                <w:sz w:val="18"/>
              </w:rPr>
              <w:t>24.102.303,64</w:t>
            </w:r>
          </w:p>
        </w:tc>
        <w:tc>
          <w:tcPr>
            <w:tcW w:w="700" w:type="dxa"/>
            <w:tcMar>
              <w:top w:w="0" w:type="dxa"/>
              <w:bottom w:w="0" w:type="dxa"/>
            </w:tcMar>
            <w:vAlign w:val="center"/>
          </w:tcPr>
          <w:p w:rsidR="002446FF" w:rsidRDefault="00000000">
            <w:pPr>
              <w:keepNext/>
              <w:keepLines/>
              <w:spacing w:after="0" w:line="240" w:lineRule="auto"/>
              <w:jc w:val="right"/>
            </w:pPr>
            <w:r>
              <w:rPr>
                <w:sz w:val="18"/>
              </w:rPr>
              <w:t>134,0</w:t>
            </w:r>
          </w:p>
        </w:tc>
      </w:tr>
    </w:tbl>
    <w:p w:rsidR="002446FF" w:rsidRDefault="002446FF">
      <w:pPr>
        <w:spacing w:after="0"/>
      </w:pPr>
    </w:p>
    <w:p w:rsidR="002446FF" w:rsidRDefault="00000000">
      <w:r>
        <w:lastRenderedPageBreak/>
        <w:t>Sredstva koja se nalaze na računu predstavljaju novčana sredstva Osječko-baranjske županije te novčana sredstva proračunskih korisnika osnovnog školstva (53 korisnika), srednjeg školstva (26 korisnika), učeničkih domova (2 korisnika), Muzeja likovnih umjetnosti, JU Agencije za upravljanje zaštićenim prirodnim vrijednostima Osječko-baranjske županije, JU Zavoda za prostorno uređenje Osječko-baranjske županije i JU Županijske razvojne agencije Osječko-baranjske županije.</w:t>
      </w:r>
    </w:p>
    <w:p w:rsidR="002446FF" w:rsidRDefault="002446FF"/>
    <w:p w:rsidR="002446FF" w:rsidRDefault="00000000">
      <w:pPr>
        <w:keepNext/>
        <w:spacing w:line="240" w:lineRule="auto"/>
        <w:jc w:val="center"/>
      </w:pPr>
      <w:r>
        <w:rPr>
          <w:sz w:val="28"/>
        </w:rPr>
        <w:t>Bilješka 62.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112</w:t>
            </w:r>
          </w:p>
        </w:tc>
        <w:tc>
          <w:tcPr>
            <w:tcW w:w="3180" w:type="dxa"/>
            <w:tcMar>
              <w:top w:w="0" w:type="dxa"/>
              <w:bottom w:w="0" w:type="dxa"/>
            </w:tcMar>
            <w:vAlign w:val="center"/>
          </w:tcPr>
          <w:p w:rsidR="002446FF" w:rsidRDefault="00000000">
            <w:pPr>
              <w:keepNext/>
              <w:keepLines/>
              <w:spacing w:after="0" w:line="240" w:lineRule="auto"/>
            </w:pPr>
            <w:r>
              <w:rPr>
                <w:sz w:val="18"/>
              </w:rPr>
              <w:t>Izdvojena novčana sredstva i depoziti u kreditnim i financijskim institucijama (šifre 1121 do 1123)</w:t>
            </w:r>
          </w:p>
        </w:tc>
        <w:tc>
          <w:tcPr>
            <w:tcW w:w="700" w:type="dxa"/>
            <w:tcMar>
              <w:top w:w="0" w:type="dxa"/>
              <w:bottom w:w="0" w:type="dxa"/>
            </w:tcMar>
            <w:vAlign w:val="center"/>
          </w:tcPr>
          <w:p w:rsidR="002446FF" w:rsidRDefault="00000000">
            <w:pPr>
              <w:keepNext/>
              <w:keepLines/>
              <w:spacing w:after="0" w:line="240" w:lineRule="auto"/>
            </w:pPr>
            <w:r>
              <w:rPr>
                <w:sz w:val="18"/>
              </w:rPr>
              <w:t>112</w:t>
            </w:r>
          </w:p>
        </w:tc>
        <w:tc>
          <w:tcPr>
            <w:tcW w:w="1860" w:type="dxa"/>
            <w:tcMar>
              <w:top w:w="0" w:type="dxa"/>
              <w:bottom w:w="0" w:type="dxa"/>
            </w:tcMar>
            <w:vAlign w:val="center"/>
          </w:tcPr>
          <w:p w:rsidR="002446FF" w:rsidRDefault="00000000">
            <w:pPr>
              <w:keepNext/>
              <w:keepLines/>
              <w:spacing w:after="0" w:line="240" w:lineRule="auto"/>
              <w:jc w:val="right"/>
            </w:pPr>
            <w:r>
              <w:rPr>
                <w:sz w:val="18"/>
              </w:rPr>
              <w:t>697,00</w:t>
            </w:r>
          </w:p>
        </w:tc>
        <w:tc>
          <w:tcPr>
            <w:tcW w:w="1860" w:type="dxa"/>
            <w:tcMar>
              <w:top w:w="0" w:type="dxa"/>
              <w:bottom w:w="0" w:type="dxa"/>
            </w:tcMar>
            <w:vAlign w:val="center"/>
          </w:tcPr>
          <w:p w:rsidR="002446FF" w:rsidRDefault="00000000">
            <w:pPr>
              <w:keepNext/>
              <w:keepLines/>
              <w:spacing w:after="0" w:line="240" w:lineRule="auto"/>
              <w:jc w:val="right"/>
            </w:pPr>
            <w:r>
              <w:rPr>
                <w:sz w:val="18"/>
              </w:rPr>
              <w:t>500,00</w:t>
            </w:r>
          </w:p>
        </w:tc>
        <w:tc>
          <w:tcPr>
            <w:tcW w:w="700" w:type="dxa"/>
            <w:tcMar>
              <w:top w:w="0" w:type="dxa"/>
              <w:bottom w:w="0" w:type="dxa"/>
            </w:tcMar>
            <w:vAlign w:val="center"/>
          </w:tcPr>
          <w:p w:rsidR="002446FF" w:rsidRDefault="00000000">
            <w:pPr>
              <w:keepNext/>
              <w:keepLines/>
              <w:spacing w:after="0" w:line="240" w:lineRule="auto"/>
              <w:jc w:val="right"/>
            </w:pPr>
            <w:r>
              <w:rPr>
                <w:sz w:val="18"/>
              </w:rPr>
              <w:t>71,7</w:t>
            </w:r>
          </w:p>
        </w:tc>
      </w:tr>
    </w:tbl>
    <w:p w:rsidR="002446FF" w:rsidRDefault="002446FF">
      <w:pPr>
        <w:spacing w:after="0"/>
      </w:pPr>
    </w:p>
    <w:p w:rsidR="002446FF" w:rsidRDefault="00000000">
      <w:r>
        <w:t>Sredstva se odnose na jednokratne pomoći socijalno ugroženim građanima koje još nisu isplaćene.</w:t>
      </w:r>
    </w:p>
    <w:p w:rsidR="002446FF" w:rsidRDefault="002446FF"/>
    <w:p w:rsidR="002446FF" w:rsidRDefault="00000000">
      <w:pPr>
        <w:keepNext/>
        <w:spacing w:line="240" w:lineRule="auto"/>
        <w:jc w:val="center"/>
      </w:pPr>
      <w:r>
        <w:rPr>
          <w:sz w:val="28"/>
        </w:rPr>
        <w:t>Bilješka 63.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129</w:t>
            </w:r>
          </w:p>
        </w:tc>
        <w:tc>
          <w:tcPr>
            <w:tcW w:w="3180" w:type="dxa"/>
            <w:tcMar>
              <w:top w:w="0" w:type="dxa"/>
              <w:bottom w:w="0" w:type="dxa"/>
            </w:tcMar>
            <w:vAlign w:val="center"/>
          </w:tcPr>
          <w:p w:rsidR="002446FF" w:rsidRDefault="00000000">
            <w:pPr>
              <w:keepNext/>
              <w:keepLines/>
              <w:spacing w:after="0" w:line="240" w:lineRule="auto"/>
            </w:pPr>
            <w:r>
              <w:rPr>
                <w:sz w:val="18"/>
              </w:rPr>
              <w:t>Ostala potraživanja</w:t>
            </w:r>
          </w:p>
        </w:tc>
        <w:tc>
          <w:tcPr>
            <w:tcW w:w="700" w:type="dxa"/>
            <w:tcMar>
              <w:top w:w="0" w:type="dxa"/>
              <w:bottom w:w="0" w:type="dxa"/>
            </w:tcMar>
            <w:vAlign w:val="center"/>
          </w:tcPr>
          <w:p w:rsidR="002446FF" w:rsidRDefault="00000000">
            <w:pPr>
              <w:keepNext/>
              <w:keepLines/>
              <w:spacing w:after="0" w:line="240" w:lineRule="auto"/>
            </w:pPr>
            <w:r>
              <w:rPr>
                <w:sz w:val="18"/>
              </w:rPr>
              <w:t>129</w:t>
            </w:r>
          </w:p>
        </w:tc>
        <w:tc>
          <w:tcPr>
            <w:tcW w:w="1860" w:type="dxa"/>
            <w:tcMar>
              <w:top w:w="0" w:type="dxa"/>
              <w:bottom w:w="0" w:type="dxa"/>
            </w:tcMar>
            <w:vAlign w:val="center"/>
          </w:tcPr>
          <w:p w:rsidR="002446FF" w:rsidRDefault="00000000">
            <w:pPr>
              <w:keepNext/>
              <w:keepLines/>
              <w:spacing w:after="0" w:line="240" w:lineRule="auto"/>
              <w:jc w:val="right"/>
            </w:pPr>
            <w:r>
              <w:rPr>
                <w:sz w:val="18"/>
              </w:rPr>
              <w:t>249.755,27</w:t>
            </w:r>
          </w:p>
        </w:tc>
        <w:tc>
          <w:tcPr>
            <w:tcW w:w="1860" w:type="dxa"/>
            <w:tcMar>
              <w:top w:w="0" w:type="dxa"/>
              <w:bottom w:w="0" w:type="dxa"/>
            </w:tcMar>
            <w:vAlign w:val="center"/>
          </w:tcPr>
          <w:p w:rsidR="002446FF" w:rsidRDefault="00000000">
            <w:pPr>
              <w:keepNext/>
              <w:keepLines/>
              <w:spacing w:after="0" w:line="240" w:lineRule="auto"/>
              <w:jc w:val="right"/>
            </w:pPr>
            <w:r>
              <w:rPr>
                <w:sz w:val="18"/>
              </w:rPr>
              <w:t>593.545,84</w:t>
            </w:r>
          </w:p>
        </w:tc>
        <w:tc>
          <w:tcPr>
            <w:tcW w:w="700" w:type="dxa"/>
            <w:tcMar>
              <w:top w:w="0" w:type="dxa"/>
              <w:bottom w:w="0" w:type="dxa"/>
            </w:tcMar>
            <w:vAlign w:val="center"/>
          </w:tcPr>
          <w:p w:rsidR="002446FF" w:rsidRDefault="00000000">
            <w:pPr>
              <w:keepNext/>
              <w:keepLines/>
              <w:spacing w:after="0" w:line="240" w:lineRule="auto"/>
              <w:jc w:val="right"/>
            </w:pPr>
            <w:r>
              <w:rPr>
                <w:sz w:val="18"/>
              </w:rPr>
              <w:t>237,7</w:t>
            </w:r>
          </w:p>
        </w:tc>
      </w:tr>
    </w:tbl>
    <w:p w:rsidR="002446FF" w:rsidRDefault="002446FF">
      <w:pPr>
        <w:spacing w:after="0"/>
      </w:pPr>
    </w:p>
    <w:p w:rsidR="002446FF" w:rsidRDefault="00000000">
      <w:r>
        <w:t>Evidentirano povećanje odnosi na potraživanja za neutrošena sredstva koja će se vratiti početkom 2026. godine i potraživanja koja se odnose na proračunske korisnike koja se odnose na avansna plaćanja te refundaciju bolovanja.</w:t>
      </w:r>
    </w:p>
    <w:p w:rsidR="002446FF" w:rsidRDefault="002446FF"/>
    <w:p w:rsidR="002446FF" w:rsidRDefault="00000000">
      <w:pPr>
        <w:keepNext/>
        <w:spacing w:line="240" w:lineRule="auto"/>
        <w:jc w:val="center"/>
      </w:pPr>
      <w:r>
        <w:rPr>
          <w:sz w:val="28"/>
        </w:rPr>
        <w:t>Bilješka 64.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1635</w:t>
            </w:r>
          </w:p>
        </w:tc>
        <w:tc>
          <w:tcPr>
            <w:tcW w:w="3180" w:type="dxa"/>
            <w:tcMar>
              <w:top w:w="0" w:type="dxa"/>
              <w:bottom w:w="0" w:type="dxa"/>
            </w:tcMar>
            <w:vAlign w:val="center"/>
          </w:tcPr>
          <w:p w:rsidR="002446FF" w:rsidRDefault="00000000">
            <w:pPr>
              <w:keepNext/>
              <w:keepLines/>
              <w:spacing w:after="0" w:line="240" w:lineRule="auto"/>
            </w:pPr>
            <w:r>
              <w:rPr>
                <w:sz w:val="18"/>
              </w:rPr>
              <w:t>Potraživanja za pomoći izravnanja za decentralizirane funkcije i fiskalnog izravnanja</w:t>
            </w:r>
          </w:p>
        </w:tc>
        <w:tc>
          <w:tcPr>
            <w:tcW w:w="700" w:type="dxa"/>
            <w:tcMar>
              <w:top w:w="0" w:type="dxa"/>
              <w:bottom w:w="0" w:type="dxa"/>
            </w:tcMar>
            <w:vAlign w:val="center"/>
          </w:tcPr>
          <w:p w:rsidR="002446FF" w:rsidRDefault="00000000">
            <w:pPr>
              <w:keepNext/>
              <w:keepLines/>
              <w:spacing w:after="0" w:line="240" w:lineRule="auto"/>
            </w:pPr>
            <w:r>
              <w:rPr>
                <w:sz w:val="18"/>
              </w:rPr>
              <w:t>1635</w:t>
            </w:r>
          </w:p>
        </w:tc>
        <w:tc>
          <w:tcPr>
            <w:tcW w:w="1860" w:type="dxa"/>
            <w:tcMar>
              <w:top w:w="0" w:type="dxa"/>
              <w:bottom w:w="0" w:type="dxa"/>
            </w:tcMar>
            <w:vAlign w:val="center"/>
          </w:tcPr>
          <w:p w:rsidR="002446FF" w:rsidRDefault="00000000">
            <w:pPr>
              <w:keepNext/>
              <w:keepLines/>
              <w:spacing w:after="0" w:line="240" w:lineRule="auto"/>
              <w:jc w:val="right"/>
            </w:pPr>
            <w:r>
              <w:rPr>
                <w:sz w:val="18"/>
              </w:rPr>
              <w:t>12.468,18</w:t>
            </w:r>
          </w:p>
        </w:tc>
        <w:tc>
          <w:tcPr>
            <w:tcW w:w="1860" w:type="dxa"/>
            <w:tcMar>
              <w:top w:w="0" w:type="dxa"/>
              <w:bottom w:w="0" w:type="dxa"/>
            </w:tcMar>
            <w:vAlign w:val="center"/>
          </w:tcPr>
          <w:p w:rsidR="002446FF" w:rsidRDefault="00000000">
            <w:pPr>
              <w:keepNext/>
              <w:keepLines/>
              <w:spacing w:after="0" w:line="240" w:lineRule="auto"/>
              <w:jc w:val="right"/>
            </w:pPr>
            <w:r>
              <w:rPr>
                <w:sz w:val="18"/>
              </w:rPr>
              <w:t>4.746,80</w:t>
            </w:r>
          </w:p>
        </w:tc>
        <w:tc>
          <w:tcPr>
            <w:tcW w:w="700" w:type="dxa"/>
            <w:tcMar>
              <w:top w:w="0" w:type="dxa"/>
              <w:bottom w:w="0" w:type="dxa"/>
            </w:tcMar>
            <w:vAlign w:val="center"/>
          </w:tcPr>
          <w:p w:rsidR="002446FF" w:rsidRDefault="00000000">
            <w:pPr>
              <w:keepNext/>
              <w:keepLines/>
              <w:spacing w:after="0" w:line="240" w:lineRule="auto"/>
              <w:jc w:val="right"/>
            </w:pPr>
            <w:r>
              <w:rPr>
                <w:sz w:val="18"/>
              </w:rPr>
              <w:t>38,1</w:t>
            </w:r>
          </w:p>
        </w:tc>
      </w:tr>
    </w:tbl>
    <w:p w:rsidR="002446FF" w:rsidRDefault="002446FF">
      <w:pPr>
        <w:spacing w:after="0"/>
      </w:pPr>
    </w:p>
    <w:p w:rsidR="002446FF" w:rsidRDefault="00000000">
      <w:r>
        <w:t>Evidentirano potraživanje odnosi se na neostvarena sredstva koja su osigurana odlukama o minimalnim financijskim standardima za osnovno i srednje školstvo.</w:t>
      </w:r>
    </w:p>
    <w:p w:rsidR="002446FF" w:rsidRDefault="002446FF"/>
    <w:p w:rsidR="002446FF" w:rsidRDefault="00000000">
      <w:pPr>
        <w:keepNext/>
        <w:spacing w:line="240" w:lineRule="auto"/>
        <w:jc w:val="center"/>
      </w:pPr>
      <w:r>
        <w:rPr>
          <w:sz w:val="28"/>
        </w:rPr>
        <w:lastRenderedPageBreak/>
        <w:t>Bilješka 65.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1638</w:t>
            </w:r>
          </w:p>
        </w:tc>
        <w:tc>
          <w:tcPr>
            <w:tcW w:w="3180" w:type="dxa"/>
            <w:tcMar>
              <w:top w:w="0" w:type="dxa"/>
              <w:bottom w:w="0" w:type="dxa"/>
            </w:tcMar>
            <w:vAlign w:val="center"/>
          </w:tcPr>
          <w:p w:rsidR="002446FF" w:rsidRDefault="00000000">
            <w:pPr>
              <w:keepNext/>
              <w:keepLines/>
              <w:spacing w:after="0" w:line="240" w:lineRule="auto"/>
            </w:pPr>
            <w:r>
              <w:rPr>
                <w:sz w:val="18"/>
              </w:rPr>
              <w:t>Potraživanja za pomoći temeljem prijenosa EU sredstava</w:t>
            </w:r>
          </w:p>
        </w:tc>
        <w:tc>
          <w:tcPr>
            <w:tcW w:w="700" w:type="dxa"/>
            <w:tcMar>
              <w:top w:w="0" w:type="dxa"/>
              <w:bottom w:w="0" w:type="dxa"/>
            </w:tcMar>
            <w:vAlign w:val="center"/>
          </w:tcPr>
          <w:p w:rsidR="002446FF" w:rsidRDefault="00000000">
            <w:pPr>
              <w:keepNext/>
              <w:keepLines/>
              <w:spacing w:after="0" w:line="240" w:lineRule="auto"/>
            </w:pPr>
            <w:r>
              <w:rPr>
                <w:sz w:val="18"/>
              </w:rPr>
              <w:t>1638</w:t>
            </w:r>
          </w:p>
        </w:tc>
        <w:tc>
          <w:tcPr>
            <w:tcW w:w="1860" w:type="dxa"/>
            <w:tcMar>
              <w:top w:w="0" w:type="dxa"/>
              <w:bottom w:w="0" w:type="dxa"/>
            </w:tcMar>
            <w:vAlign w:val="center"/>
          </w:tcPr>
          <w:p w:rsidR="002446FF" w:rsidRDefault="00000000">
            <w:pPr>
              <w:keepNext/>
              <w:keepLines/>
              <w:spacing w:after="0" w:line="240" w:lineRule="auto"/>
              <w:jc w:val="right"/>
            </w:pPr>
            <w:r>
              <w:rPr>
                <w:sz w:val="18"/>
              </w:rPr>
              <w:t>585.325,37</w:t>
            </w:r>
          </w:p>
        </w:tc>
        <w:tc>
          <w:tcPr>
            <w:tcW w:w="1860" w:type="dxa"/>
            <w:tcMar>
              <w:top w:w="0" w:type="dxa"/>
              <w:bottom w:w="0" w:type="dxa"/>
            </w:tcMar>
            <w:vAlign w:val="center"/>
          </w:tcPr>
          <w:p w:rsidR="002446FF" w:rsidRDefault="00000000">
            <w:pPr>
              <w:keepNext/>
              <w:keepLines/>
              <w:spacing w:after="0" w:line="240" w:lineRule="auto"/>
              <w:jc w:val="right"/>
            </w:pPr>
            <w:r>
              <w:rPr>
                <w:sz w:val="18"/>
              </w:rPr>
              <w:t>1.465.254,62</w:t>
            </w:r>
          </w:p>
        </w:tc>
        <w:tc>
          <w:tcPr>
            <w:tcW w:w="700" w:type="dxa"/>
            <w:tcMar>
              <w:top w:w="0" w:type="dxa"/>
              <w:bottom w:w="0" w:type="dxa"/>
            </w:tcMar>
            <w:vAlign w:val="center"/>
          </w:tcPr>
          <w:p w:rsidR="002446FF" w:rsidRDefault="00000000">
            <w:pPr>
              <w:keepNext/>
              <w:keepLines/>
              <w:spacing w:after="0" w:line="240" w:lineRule="auto"/>
              <w:jc w:val="right"/>
            </w:pPr>
            <w:r>
              <w:rPr>
                <w:sz w:val="18"/>
              </w:rPr>
              <w:t>250,3</w:t>
            </w:r>
          </w:p>
        </w:tc>
      </w:tr>
    </w:tbl>
    <w:p w:rsidR="002446FF" w:rsidRDefault="002446FF">
      <w:pPr>
        <w:spacing w:after="0"/>
      </w:pPr>
    </w:p>
    <w:p w:rsidR="002446FF" w:rsidRDefault="00000000">
      <w:r>
        <w:t xml:space="preserve">Potraživanja se odnose za zahtjeve za nadoknadu sredstava najvećim dijelom na projekte infrastrukturnih ulaganje u školske ustanove za potrebe prelaska na </w:t>
      </w:r>
      <w:proofErr w:type="spellStart"/>
      <w:r>
        <w:t>jednosmjensku</w:t>
      </w:r>
      <w:proofErr w:type="spellEnd"/>
      <w:r>
        <w:t xml:space="preserve"> nastavu i cjelodnevnu školu, projekt Učimo zajedno 8 i projekt Zaželi pomoć u kući.</w:t>
      </w:r>
    </w:p>
    <w:p w:rsidR="002446FF" w:rsidRDefault="002446FF"/>
    <w:p w:rsidR="002446FF" w:rsidRDefault="00000000">
      <w:pPr>
        <w:keepNext/>
        <w:spacing w:line="240" w:lineRule="auto"/>
        <w:jc w:val="center"/>
      </w:pPr>
      <w:r>
        <w:rPr>
          <w:sz w:val="28"/>
        </w:rPr>
        <w:t>Bilješka 66.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2</w:t>
            </w:r>
          </w:p>
        </w:tc>
        <w:tc>
          <w:tcPr>
            <w:tcW w:w="3180" w:type="dxa"/>
            <w:tcMar>
              <w:top w:w="0" w:type="dxa"/>
              <w:bottom w:w="0" w:type="dxa"/>
            </w:tcMar>
            <w:vAlign w:val="center"/>
          </w:tcPr>
          <w:p w:rsidR="002446FF" w:rsidRDefault="00000000">
            <w:pPr>
              <w:keepNext/>
              <w:keepLines/>
              <w:spacing w:after="0" w:line="240" w:lineRule="auto"/>
            </w:pPr>
            <w:r>
              <w:rPr>
                <w:sz w:val="18"/>
              </w:rPr>
              <w:t>Obveze (šifre 23+24+25+26+27+29)</w:t>
            </w:r>
          </w:p>
        </w:tc>
        <w:tc>
          <w:tcPr>
            <w:tcW w:w="700" w:type="dxa"/>
            <w:tcMar>
              <w:top w:w="0" w:type="dxa"/>
              <w:bottom w:w="0" w:type="dxa"/>
            </w:tcMar>
            <w:vAlign w:val="center"/>
          </w:tcPr>
          <w:p w:rsidR="002446FF" w:rsidRDefault="00000000">
            <w:pPr>
              <w:keepNext/>
              <w:keepLines/>
              <w:spacing w:after="0" w:line="240" w:lineRule="auto"/>
            </w:pPr>
            <w:r>
              <w:rPr>
                <w:sz w:val="18"/>
              </w:rPr>
              <w:t>2</w:t>
            </w:r>
          </w:p>
        </w:tc>
        <w:tc>
          <w:tcPr>
            <w:tcW w:w="1860" w:type="dxa"/>
            <w:tcMar>
              <w:top w:w="0" w:type="dxa"/>
              <w:bottom w:w="0" w:type="dxa"/>
            </w:tcMar>
            <w:vAlign w:val="center"/>
          </w:tcPr>
          <w:p w:rsidR="002446FF" w:rsidRDefault="00000000">
            <w:pPr>
              <w:keepNext/>
              <w:keepLines/>
              <w:spacing w:after="0" w:line="240" w:lineRule="auto"/>
              <w:jc w:val="right"/>
            </w:pPr>
            <w:r>
              <w:rPr>
                <w:sz w:val="18"/>
              </w:rPr>
              <w:t>16.783.007,62</w:t>
            </w:r>
          </w:p>
        </w:tc>
        <w:tc>
          <w:tcPr>
            <w:tcW w:w="1860" w:type="dxa"/>
            <w:tcMar>
              <w:top w:w="0" w:type="dxa"/>
              <w:bottom w:w="0" w:type="dxa"/>
            </w:tcMar>
            <w:vAlign w:val="center"/>
          </w:tcPr>
          <w:p w:rsidR="002446FF" w:rsidRDefault="00000000">
            <w:pPr>
              <w:keepNext/>
              <w:keepLines/>
              <w:spacing w:after="0" w:line="240" w:lineRule="auto"/>
              <w:jc w:val="right"/>
            </w:pPr>
            <w:r>
              <w:rPr>
                <w:sz w:val="18"/>
              </w:rPr>
              <w:t>15.424.994,32</w:t>
            </w:r>
          </w:p>
        </w:tc>
        <w:tc>
          <w:tcPr>
            <w:tcW w:w="700" w:type="dxa"/>
            <w:tcMar>
              <w:top w:w="0" w:type="dxa"/>
              <w:bottom w:w="0" w:type="dxa"/>
            </w:tcMar>
            <w:vAlign w:val="center"/>
          </w:tcPr>
          <w:p w:rsidR="002446FF" w:rsidRDefault="00000000">
            <w:pPr>
              <w:keepNext/>
              <w:keepLines/>
              <w:spacing w:after="0" w:line="240" w:lineRule="auto"/>
              <w:jc w:val="right"/>
            </w:pPr>
            <w:r>
              <w:rPr>
                <w:sz w:val="18"/>
              </w:rPr>
              <w:t>91,9</w:t>
            </w:r>
          </w:p>
        </w:tc>
      </w:tr>
    </w:tbl>
    <w:p w:rsidR="002446FF" w:rsidRDefault="002446FF">
      <w:pPr>
        <w:spacing w:after="0"/>
      </w:pPr>
    </w:p>
    <w:p w:rsidR="002446FF" w:rsidRDefault="00000000">
      <w:r>
        <w:t>Evidentirane nepodmirene obveze u 2025. godini podmiruju se sukladno njihovom dospijeću u 2026. godini. Osječko-baranjska županija podmiruje svoje obveze redovno te nema dospjelih nepodmirenih obveza.</w:t>
      </w:r>
    </w:p>
    <w:p w:rsidR="002446FF" w:rsidRDefault="002446FF"/>
    <w:p w:rsidR="002446FF" w:rsidRDefault="00000000">
      <w:pPr>
        <w:keepNext/>
        <w:spacing w:line="240" w:lineRule="auto"/>
        <w:jc w:val="center"/>
      </w:pPr>
      <w:r>
        <w:rPr>
          <w:sz w:val="28"/>
        </w:rPr>
        <w:t>Bilješka 67.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239</w:t>
            </w:r>
          </w:p>
        </w:tc>
        <w:tc>
          <w:tcPr>
            <w:tcW w:w="3180" w:type="dxa"/>
            <w:tcMar>
              <w:top w:w="0" w:type="dxa"/>
              <w:bottom w:w="0" w:type="dxa"/>
            </w:tcMar>
            <w:vAlign w:val="center"/>
          </w:tcPr>
          <w:p w:rsidR="002446FF" w:rsidRDefault="00000000">
            <w:pPr>
              <w:keepNext/>
              <w:keepLines/>
              <w:spacing w:after="0" w:line="240" w:lineRule="auto"/>
            </w:pPr>
            <w:r>
              <w:rPr>
                <w:sz w:val="18"/>
              </w:rPr>
              <w:t>Ostale tekuće obveze</w:t>
            </w:r>
          </w:p>
        </w:tc>
        <w:tc>
          <w:tcPr>
            <w:tcW w:w="700" w:type="dxa"/>
            <w:tcMar>
              <w:top w:w="0" w:type="dxa"/>
              <w:bottom w:w="0" w:type="dxa"/>
            </w:tcMar>
            <w:vAlign w:val="center"/>
          </w:tcPr>
          <w:p w:rsidR="002446FF" w:rsidRDefault="00000000">
            <w:pPr>
              <w:keepNext/>
              <w:keepLines/>
              <w:spacing w:after="0" w:line="240" w:lineRule="auto"/>
            </w:pPr>
            <w:r>
              <w:rPr>
                <w:sz w:val="18"/>
              </w:rPr>
              <w:t>239</w:t>
            </w:r>
          </w:p>
        </w:tc>
        <w:tc>
          <w:tcPr>
            <w:tcW w:w="1860" w:type="dxa"/>
            <w:tcMar>
              <w:top w:w="0" w:type="dxa"/>
              <w:bottom w:w="0" w:type="dxa"/>
            </w:tcMar>
            <w:vAlign w:val="center"/>
          </w:tcPr>
          <w:p w:rsidR="002446FF" w:rsidRDefault="00000000">
            <w:pPr>
              <w:keepNext/>
              <w:keepLines/>
              <w:spacing w:after="0" w:line="240" w:lineRule="auto"/>
              <w:jc w:val="right"/>
            </w:pPr>
            <w:r>
              <w:rPr>
                <w:sz w:val="18"/>
              </w:rPr>
              <w:t>61.291,46</w:t>
            </w:r>
          </w:p>
        </w:tc>
        <w:tc>
          <w:tcPr>
            <w:tcW w:w="1860" w:type="dxa"/>
            <w:tcMar>
              <w:top w:w="0" w:type="dxa"/>
              <w:bottom w:w="0" w:type="dxa"/>
            </w:tcMar>
            <w:vAlign w:val="center"/>
          </w:tcPr>
          <w:p w:rsidR="002446FF" w:rsidRDefault="00000000">
            <w:pPr>
              <w:keepNext/>
              <w:keepLines/>
              <w:spacing w:after="0" w:line="240" w:lineRule="auto"/>
              <w:jc w:val="right"/>
            </w:pPr>
            <w:r>
              <w:rPr>
                <w:sz w:val="18"/>
              </w:rPr>
              <w:t>19.857,69</w:t>
            </w:r>
          </w:p>
        </w:tc>
        <w:tc>
          <w:tcPr>
            <w:tcW w:w="700" w:type="dxa"/>
            <w:tcMar>
              <w:top w:w="0" w:type="dxa"/>
              <w:bottom w:w="0" w:type="dxa"/>
            </w:tcMar>
            <w:vAlign w:val="center"/>
          </w:tcPr>
          <w:p w:rsidR="002446FF" w:rsidRDefault="00000000">
            <w:pPr>
              <w:keepNext/>
              <w:keepLines/>
              <w:spacing w:after="0" w:line="240" w:lineRule="auto"/>
              <w:jc w:val="right"/>
            </w:pPr>
            <w:r>
              <w:rPr>
                <w:sz w:val="18"/>
              </w:rPr>
              <w:t>32,4</w:t>
            </w:r>
          </w:p>
        </w:tc>
      </w:tr>
    </w:tbl>
    <w:p w:rsidR="002446FF" w:rsidRDefault="002446FF">
      <w:pPr>
        <w:spacing w:after="0"/>
      </w:pPr>
    </w:p>
    <w:p w:rsidR="002446FF" w:rsidRDefault="00000000">
      <w:r>
        <w:t>Zbog promjene u načinu evidentiranja i iskazivanja podataka, odstupanja u promatranom razdoblju u iskazanim podacima u okviru skupine 239 i 27 u koloni „stanje 1. siječnja“ u iznosu od 5.387.411,41 eura odnose se na obveze proračuna za naplaćena sredstva proračunskih korisnika.  Sukladno izmjenama te kontrolama u obrascu, podatak pod šifrom „dio 23 N – obveze za rashode poslovanja-nedospjele“  u koloni „stanje 1. siječnja“ umanjen je za iznos od 5.387.411,41 eura.</w:t>
      </w:r>
    </w:p>
    <w:p w:rsidR="002446FF" w:rsidRDefault="002446FF"/>
    <w:p w:rsidR="002446FF" w:rsidRDefault="00000000">
      <w:pPr>
        <w:keepNext/>
        <w:spacing w:line="240" w:lineRule="auto"/>
        <w:jc w:val="center"/>
      </w:pPr>
      <w:r>
        <w:rPr>
          <w:sz w:val="28"/>
        </w:rPr>
        <w:t>Bilješka 68.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2643</w:t>
            </w:r>
          </w:p>
        </w:tc>
        <w:tc>
          <w:tcPr>
            <w:tcW w:w="3180" w:type="dxa"/>
            <w:tcMar>
              <w:top w:w="0" w:type="dxa"/>
              <w:bottom w:w="0" w:type="dxa"/>
            </w:tcMar>
            <w:vAlign w:val="center"/>
          </w:tcPr>
          <w:p w:rsidR="002446FF" w:rsidRDefault="00000000">
            <w:pPr>
              <w:keepNext/>
              <w:keepLines/>
              <w:spacing w:after="0" w:line="240" w:lineRule="auto"/>
            </w:pPr>
            <w:r>
              <w:rPr>
                <w:sz w:val="18"/>
              </w:rPr>
              <w:t>Obveze za kredite od tuzemnih kreditnih institucija izvan javnog sektora</w:t>
            </w:r>
          </w:p>
        </w:tc>
        <w:tc>
          <w:tcPr>
            <w:tcW w:w="700" w:type="dxa"/>
            <w:tcMar>
              <w:top w:w="0" w:type="dxa"/>
              <w:bottom w:w="0" w:type="dxa"/>
            </w:tcMar>
            <w:vAlign w:val="center"/>
          </w:tcPr>
          <w:p w:rsidR="002446FF" w:rsidRDefault="00000000">
            <w:pPr>
              <w:keepNext/>
              <w:keepLines/>
              <w:spacing w:after="0" w:line="240" w:lineRule="auto"/>
            </w:pPr>
            <w:r>
              <w:rPr>
                <w:sz w:val="18"/>
              </w:rPr>
              <w:t>2643</w:t>
            </w:r>
          </w:p>
        </w:tc>
        <w:tc>
          <w:tcPr>
            <w:tcW w:w="1860" w:type="dxa"/>
            <w:tcMar>
              <w:top w:w="0" w:type="dxa"/>
              <w:bottom w:w="0" w:type="dxa"/>
            </w:tcMar>
            <w:vAlign w:val="center"/>
          </w:tcPr>
          <w:p w:rsidR="002446FF" w:rsidRDefault="00000000">
            <w:pPr>
              <w:keepNext/>
              <w:keepLines/>
              <w:spacing w:after="0" w:line="240" w:lineRule="auto"/>
              <w:jc w:val="right"/>
            </w:pPr>
            <w:r>
              <w:rPr>
                <w:sz w:val="18"/>
              </w:rPr>
              <w:t>9.191.072,11</w:t>
            </w:r>
          </w:p>
        </w:tc>
        <w:tc>
          <w:tcPr>
            <w:tcW w:w="1860" w:type="dxa"/>
            <w:tcMar>
              <w:top w:w="0" w:type="dxa"/>
              <w:bottom w:w="0" w:type="dxa"/>
            </w:tcMar>
            <w:vAlign w:val="center"/>
          </w:tcPr>
          <w:p w:rsidR="002446FF" w:rsidRDefault="00000000">
            <w:pPr>
              <w:keepNext/>
              <w:keepLines/>
              <w:spacing w:after="0" w:line="240" w:lineRule="auto"/>
              <w:jc w:val="right"/>
            </w:pPr>
            <w:r>
              <w:rPr>
                <w:sz w:val="18"/>
              </w:rPr>
              <w:t>7.571.853,83</w:t>
            </w:r>
          </w:p>
        </w:tc>
        <w:tc>
          <w:tcPr>
            <w:tcW w:w="700" w:type="dxa"/>
            <w:tcMar>
              <w:top w:w="0" w:type="dxa"/>
              <w:bottom w:w="0" w:type="dxa"/>
            </w:tcMar>
            <w:vAlign w:val="center"/>
          </w:tcPr>
          <w:p w:rsidR="002446FF" w:rsidRDefault="00000000">
            <w:pPr>
              <w:keepNext/>
              <w:keepLines/>
              <w:spacing w:after="0" w:line="240" w:lineRule="auto"/>
              <w:jc w:val="right"/>
            </w:pPr>
            <w:r>
              <w:rPr>
                <w:sz w:val="18"/>
              </w:rPr>
              <w:t>82,4</w:t>
            </w:r>
          </w:p>
        </w:tc>
      </w:tr>
    </w:tbl>
    <w:p w:rsidR="002446FF" w:rsidRDefault="002446FF">
      <w:pPr>
        <w:spacing w:after="0"/>
      </w:pPr>
    </w:p>
    <w:p w:rsidR="002446FF" w:rsidRDefault="00000000">
      <w:r>
        <w:lastRenderedPageBreak/>
        <w:t>Tijekom 2025. godine Osječko-baranjska županija nije sklapala nove ugovore o dugoročnim kreditima te se redovno otplaćuju postojeći.</w:t>
      </w:r>
    </w:p>
    <w:p w:rsidR="002446FF" w:rsidRDefault="002446FF"/>
    <w:p w:rsidR="002446FF" w:rsidRDefault="00000000">
      <w:pPr>
        <w:keepNext/>
        <w:spacing w:line="240" w:lineRule="auto"/>
        <w:jc w:val="center"/>
      </w:pPr>
      <w:r>
        <w:rPr>
          <w:sz w:val="28"/>
        </w:rPr>
        <w:t>Bilješka 69.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27</w:t>
            </w:r>
          </w:p>
        </w:tc>
        <w:tc>
          <w:tcPr>
            <w:tcW w:w="3180" w:type="dxa"/>
            <w:tcMar>
              <w:top w:w="0" w:type="dxa"/>
              <w:bottom w:w="0" w:type="dxa"/>
            </w:tcMar>
            <w:vAlign w:val="center"/>
          </w:tcPr>
          <w:p w:rsidR="002446FF" w:rsidRDefault="00000000">
            <w:pPr>
              <w:keepNext/>
              <w:keepLines/>
              <w:spacing w:after="0" w:line="240" w:lineRule="auto"/>
            </w:pPr>
            <w:r>
              <w:rPr>
                <w:sz w:val="18"/>
              </w:rPr>
              <w:t xml:space="preserve">Obveze za predujmove, depozite, </w:t>
            </w:r>
            <w:proofErr w:type="spellStart"/>
            <w:r>
              <w:rPr>
                <w:sz w:val="18"/>
              </w:rPr>
              <w:t>jamčevne</w:t>
            </w:r>
            <w:proofErr w:type="spellEnd"/>
            <w:r>
              <w:rPr>
                <w:sz w:val="18"/>
              </w:rPr>
              <w:t xml:space="preserve"> </w:t>
            </w:r>
            <w:proofErr w:type="spellStart"/>
            <w:r>
              <w:rPr>
                <w:sz w:val="18"/>
              </w:rPr>
              <w:t>pologe</w:t>
            </w:r>
            <w:proofErr w:type="spellEnd"/>
            <w:r>
              <w:rPr>
                <w:sz w:val="18"/>
              </w:rPr>
              <w:t xml:space="preserve"> i tuđe prihode</w:t>
            </w:r>
          </w:p>
        </w:tc>
        <w:tc>
          <w:tcPr>
            <w:tcW w:w="700" w:type="dxa"/>
            <w:tcMar>
              <w:top w:w="0" w:type="dxa"/>
              <w:bottom w:w="0" w:type="dxa"/>
            </w:tcMar>
            <w:vAlign w:val="center"/>
          </w:tcPr>
          <w:p w:rsidR="002446FF" w:rsidRDefault="00000000">
            <w:pPr>
              <w:keepNext/>
              <w:keepLines/>
              <w:spacing w:after="0" w:line="240" w:lineRule="auto"/>
            </w:pPr>
            <w:r>
              <w:rPr>
                <w:sz w:val="18"/>
              </w:rPr>
              <w:t>27</w:t>
            </w:r>
          </w:p>
        </w:tc>
        <w:tc>
          <w:tcPr>
            <w:tcW w:w="1860" w:type="dxa"/>
            <w:tcMar>
              <w:top w:w="0" w:type="dxa"/>
              <w:bottom w:w="0" w:type="dxa"/>
            </w:tcMar>
            <w:vAlign w:val="center"/>
          </w:tcPr>
          <w:p w:rsidR="002446FF" w:rsidRDefault="00000000">
            <w:pPr>
              <w:keepNext/>
              <w:keepLines/>
              <w:spacing w:after="0" w:line="240" w:lineRule="auto"/>
              <w:jc w:val="right"/>
            </w:pPr>
            <w:r>
              <w:rPr>
                <w:sz w:val="18"/>
              </w:rPr>
              <w:t>5.387.411,41</w:t>
            </w:r>
          </w:p>
        </w:tc>
        <w:tc>
          <w:tcPr>
            <w:tcW w:w="1860" w:type="dxa"/>
            <w:tcMar>
              <w:top w:w="0" w:type="dxa"/>
              <w:bottom w:w="0" w:type="dxa"/>
            </w:tcMar>
            <w:vAlign w:val="center"/>
          </w:tcPr>
          <w:p w:rsidR="002446FF" w:rsidRDefault="00000000">
            <w:pPr>
              <w:keepNext/>
              <w:keepLines/>
              <w:spacing w:after="0" w:line="240" w:lineRule="auto"/>
              <w:jc w:val="right"/>
            </w:pPr>
            <w:r>
              <w:rPr>
                <w:sz w:val="18"/>
              </w:rPr>
              <w:t>5.137.036,20</w:t>
            </w:r>
          </w:p>
        </w:tc>
        <w:tc>
          <w:tcPr>
            <w:tcW w:w="700" w:type="dxa"/>
            <w:tcMar>
              <w:top w:w="0" w:type="dxa"/>
              <w:bottom w:w="0" w:type="dxa"/>
            </w:tcMar>
            <w:vAlign w:val="center"/>
          </w:tcPr>
          <w:p w:rsidR="002446FF" w:rsidRDefault="00000000">
            <w:pPr>
              <w:keepNext/>
              <w:keepLines/>
              <w:spacing w:after="0" w:line="240" w:lineRule="auto"/>
              <w:jc w:val="right"/>
            </w:pPr>
            <w:r>
              <w:rPr>
                <w:sz w:val="18"/>
              </w:rPr>
              <w:t>95,4</w:t>
            </w:r>
          </w:p>
        </w:tc>
      </w:tr>
    </w:tbl>
    <w:p w:rsidR="002446FF" w:rsidRDefault="002446FF">
      <w:pPr>
        <w:spacing w:after="0"/>
      </w:pPr>
    </w:p>
    <w:p w:rsidR="002446FF" w:rsidRDefault="00000000">
      <w:r>
        <w:t>Zbog promjene u načinu evidentiranja i iskazivanja podataka, odstupanja u promatranom razdoblju u iskazanim podacima u okviru skupine 239 i 27 u koloni „stanje 1. siječnja“ u iznosu od 5.387.411,41 eura odnose se na obveze proračuna za naplaćena sredstva proračunskih korisnika.  Sukladno izmjenama te kontrolama u obrascu, podatak pod šifrom „dio 23 N – obveze za rashode poslovanja-nedospjele“  u koloni „stanje 1. siječnja“ umanjen je za iznos od 5.387.411,41 eura.</w:t>
      </w:r>
    </w:p>
    <w:p w:rsidR="002446FF" w:rsidRDefault="002446FF"/>
    <w:p w:rsidR="002446FF" w:rsidRDefault="00000000">
      <w:pPr>
        <w:keepNext/>
        <w:spacing w:line="240" w:lineRule="auto"/>
        <w:jc w:val="center"/>
      </w:pPr>
      <w:r>
        <w:rPr>
          <w:sz w:val="28"/>
        </w:rPr>
        <w:t>Bilješka 70.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912</w:t>
            </w:r>
          </w:p>
        </w:tc>
        <w:tc>
          <w:tcPr>
            <w:tcW w:w="3180" w:type="dxa"/>
            <w:tcMar>
              <w:top w:w="0" w:type="dxa"/>
              <w:bottom w:w="0" w:type="dxa"/>
            </w:tcMar>
            <w:vAlign w:val="center"/>
          </w:tcPr>
          <w:p w:rsidR="002446FF" w:rsidRDefault="00000000">
            <w:pPr>
              <w:keepNext/>
              <w:keepLines/>
              <w:spacing w:after="0" w:line="240" w:lineRule="auto"/>
            </w:pPr>
            <w:r>
              <w:rPr>
                <w:sz w:val="18"/>
              </w:rPr>
              <w:t>Ispravak vlastitih izvora za obveze</w:t>
            </w:r>
          </w:p>
        </w:tc>
        <w:tc>
          <w:tcPr>
            <w:tcW w:w="700" w:type="dxa"/>
            <w:tcMar>
              <w:top w:w="0" w:type="dxa"/>
              <w:bottom w:w="0" w:type="dxa"/>
            </w:tcMar>
            <w:vAlign w:val="center"/>
          </w:tcPr>
          <w:p w:rsidR="002446FF" w:rsidRDefault="00000000">
            <w:pPr>
              <w:keepNext/>
              <w:keepLines/>
              <w:spacing w:after="0" w:line="240" w:lineRule="auto"/>
            </w:pPr>
            <w:r>
              <w:rPr>
                <w:sz w:val="18"/>
              </w:rPr>
              <w:t>912</w:t>
            </w:r>
          </w:p>
        </w:tc>
        <w:tc>
          <w:tcPr>
            <w:tcW w:w="1860" w:type="dxa"/>
            <w:tcMar>
              <w:top w:w="0" w:type="dxa"/>
              <w:bottom w:w="0" w:type="dxa"/>
            </w:tcMar>
            <w:vAlign w:val="center"/>
          </w:tcPr>
          <w:p w:rsidR="002446FF" w:rsidRDefault="00000000">
            <w:pPr>
              <w:keepNext/>
              <w:keepLines/>
              <w:spacing w:after="0" w:line="240" w:lineRule="auto"/>
              <w:jc w:val="right"/>
            </w:pPr>
            <w:r>
              <w:rPr>
                <w:sz w:val="18"/>
              </w:rPr>
              <w:t>9.191.072,11</w:t>
            </w:r>
          </w:p>
        </w:tc>
        <w:tc>
          <w:tcPr>
            <w:tcW w:w="1860" w:type="dxa"/>
            <w:tcMar>
              <w:top w:w="0" w:type="dxa"/>
              <w:bottom w:w="0" w:type="dxa"/>
            </w:tcMar>
            <w:vAlign w:val="center"/>
          </w:tcPr>
          <w:p w:rsidR="002446FF" w:rsidRDefault="00000000">
            <w:pPr>
              <w:keepNext/>
              <w:keepLines/>
              <w:spacing w:after="0" w:line="240" w:lineRule="auto"/>
              <w:jc w:val="right"/>
            </w:pPr>
            <w:r>
              <w:rPr>
                <w:sz w:val="18"/>
              </w:rPr>
              <w:t>7.571.853,83</w:t>
            </w:r>
          </w:p>
        </w:tc>
        <w:tc>
          <w:tcPr>
            <w:tcW w:w="700" w:type="dxa"/>
            <w:tcMar>
              <w:top w:w="0" w:type="dxa"/>
              <w:bottom w:w="0" w:type="dxa"/>
            </w:tcMar>
            <w:vAlign w:val="center"/>
          </w:tcPr>
          <w:p w:rsidR="002446FF" w:rsidRDefault="00000000">
            <w:pPr>
              <w:keepNext/>
              <w:keepLines/>
              <w:spacing w:after="0" w:line="240" w:lineRule="auto"/>
              <w:jc w:val="right"/>
            </w:pPr>
            <w:r>
              <w:rPr>
                <w:sz w:val="18"/>
              </w:rPr>
              <w:t>82,4</w:t>
            </w:r>
          </w:p>
        </w:tc>
      </w:tr>
    </w:tbl>
    <w:p w:rsidR="002446FF" w:rsidRDefault="002446FF">
      <w:pPr>
        <w:spacing w:after="0"/>
      </w:pPr>
    </w:p>
    <w:p w:rsidR="002446FF" w:rsidRDefault="00000000">
      <w:r>
        <w:t>Tijekom 2025. godine Osječko-baranjska županija nije sklapala nove ugovore o dugoročnim kreditima te se redovno otplaćuju postojeći.</w:t>
      </w:r>
    </w:p>
    <w:p w:rsidR="002446FF" w:rsidRDefault="002446FF"/>
    <w:p w:rsidR="002446FF" w:rsidRDefault="00000000">
      <w:pPr>
        <w:keepNext/>
        <w:spacing w:line="240" w:lineRule="auto"/>
        <w:jc w:val="center"/>
      </w:pPr>
      <w:r>
        <w:rPr>
          <w:sz w:val="28"/>
        </w:rPr>
        <w:t>Bilješka 71.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922</w:t>
            </w:r>
          </w:p>
        </w:tc>
        <w:tc>
          <w:tcPr>
            <w:tcW w:w="3180" w:type="dxa"/>
            <w:tcMar>
              <w:top w:w="0" w:type="dxa"/>
              <w:bottom w:w="0" w:type="dxa"/>
            </w:tcMar>
            <w:vAlign w:val="center"/>
          </w:tcPr>
          <w:p w:rsidR="002446FF" w:rsidRDefault="00000000">
            <w:pPr>
              <w:keepNext/>
              <w:keepLines/>
              <w:spacing w:after="0" w:line="240" w:lineRule="auto"/>
            </w:pPr>
            <w:r>
              <w:rPr>
                <w:sz w:val="18"/>
              </w:rPr>
              <w:t>Rezultat - višak/manjak (šifre 9221-9222)</w:t>
            </w:r>
          </w:p>
        </w:tc>
        <w:tc>
          <w:tcPr>
            <w:tcW w:w="700" w:type="dxa"/>
            <w:tcMar>
              <w:top w:w="0" w:type="dxa"/>
              <w:bottom w:w="0" w:type="dxa"/>
            </w:tcMar>
            <w:vAlign w:val="center"/>
          </w:tcPr>
          <w:p w:rsidR="002446FF" w:rsidRDefault="00000000">
            <w:pPr>
              <w:keepNext/>
              <w:keepLines/>
              <w:spacing w:after="0" w:line="240" w:lineRule="auto"/>
            </w:pPr>
            <w:r>
              <w:rPr>
                <w:sz w:val="18"/>
              </w:rPr>
              <w:t>922</w:t>
            </w:r>
          </w:p>
        </w:tc>
        <w:tc>
          <w:tcPr>
            <w:tcW w:w="1860" w:type="dxa"/>
            <w:tcMar>
              <w:top w:w="0" w:type="dxa"/>
              <w:bottom w:w="0" w:type="dxa"/>
            </w:tcMar>
            <w:vAlign w:val="center"/>
          </w:tcPr>
          <w:p w:rsidR="002446FF" w:rsidRDefault="00000000">
            <w:pPr>
              <w:keepNext/>
              <w:keepLines/>
              <w:spacing w:after="0" w:line="240" w:lineRule="auto"/>
              <w:jc w:val="right"/>
            </w:pPr>
            <w:r>
              <w:rPr>
                <w:sz w:val="18"/>
              </w:rPr>
              <w:t>10.651.253,04</w:t>
            </w:r>
          </w:p>
        </w:tc>
        <w:tc>
          <w:tcPr>
            <w:tcW w:w="1860" w:type="dxa"/>
            <w:tcMar>
              <w:top w:w="0" w:type="dxa"/>
              <w:bottom w:w="0" w:type="dxa"/>
            </w:tcMar>
            <w:vAlign w:val="center"/>
          </w:tcPr>
          <w:p w:rsidR="002446FF" w:rsidRDefault="00000000">
            <w:pPr>
              <w:keepNext/>
              <w:keepLines/>
              <w:spacing w:after="0" w:line="240" w:lineRule="auto"/>
              <w:jc w:val="right"/>
            </w:pPr>
            <w:r>
              <w:rPr>
                <w:sz w:val="18"/>
              </w:rPr>
              <w:t>16.844.897,32</w:t>
            </w:r>
          </w:p>
        </w:tc>
        <w:tc>
          <w:tcPr>
            <w:tcW w:w="700" w:type="dxa"/>
            <w:tcMar>
              <w:top w:w="0" w:type="dxa"/>
              <w:bottom w:w="0" w:type="dxa"/>
            </w:tcMar>
            <w:vAlign w:val="center"/>
          </w:tcPr>
          <w:p w:rsidR="002446FF" w:rsidRDefault="00000000">
            <w:pPr>
              <w:keepNext/>
              <w:keepLines/>
              <w:spacing w:after="0" w:line="240" w:lineRule="auto"/>
              <w:jc w:val="right"/>
            </w:pPr>
            <w:r>
              <w:rPr>
                <w:sz w:val="18"/>
              </w:rPr>
              <w:t>158,1</w:t>
            </w:r>
          </w:p>
        </w:tc>
      </w:tr>
    </w:tbl>
    <w:p w:rsidR="002446FF" w:rsidRDefault="002446FF">
      <w:pPr>
        <w:spacing w:after="0"/>
      </w:pPr>
    </w:p>
    <w:p w:rsidR="002446FF" w:rsidRDefault="00000000">
      <w:r>
        <w:t>Sukladno Pravilniku o proračunskom računovodstvu i Računskom planu evidentirane su obvezne korekcije prema sljedećem rasporedu: I. obvezna korekcija rezultata za ostvarene kapitalne prijenose utrošene za nabavu nefinancijske imovine u iznosu od 6.654.721,31 eura, II. obvezna korekcija rezultata za ostvarene prihode od nefinancijske imovine utrošene za financiranje rashoda poslovanja (3232-kapitalnih) u iznosu od 43.851,50 eura i III. obvezna korekcija rezultata za ostvarene prihode od nefinancijske imovine utrošene za financiranje izdataka za otplatu glavnice u iznosu od 267.126,85 eura.</w:t>
      </w:r>
    </w:p>
    <w:p w:rsidR="002446FF" w:rsidRDefault="002446FF"/>
    <w:p w:rsidR="002446FF" w:rsidRDefault="00000000">
      <w:pPr>
        <w:keepNext/>
        <w:spacing w:line="240" w:lineRule="auto"/>
        <w:jc w:val="center"/>
      </w:pPr>
      <w:r>
        <w:rPr>
          <w:b/>
          <w:sz w:val="28"/>
        </w:rPr>
        <w:lastRenderedPageBreak/>
        <w:t>Izvještaj o rashodima prema funkcijskoj klasifikaciji</w:t>
      </w:r>
    </w:p>
    <w:p w:rsidR="002446FF" w:rsidRDefault="00000000">
      <w:pPr>
        <w:keepNext/>
        <w:spacing w:line="240" w:lineRule="auto"/>
        <w:jc w:val="center"/>
      </w:pPr>
      <w:r>
        <w:rPr>
          <w:sz w:val="28"/>
        </w:rPr>
        <w:t>Bilješka 72.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000000">
            <w:pPr>
              <w:keepNext/>
              <w:keepLines/>
              <w:spacing w:after="0" w:line="240" w:lineRule="auto"/>
            </w:pPr>
            <w:r>
              <w:rPr>
                <w:sz w:val="18"/>
              </w:rPr>
              <w:t>01</w:t>
            </w:r>
          </w:p>
        </w:tc>
        <w:tc>
          <w:tcPr>
            <w:tcW w:w="3180" w:type="dxa"/>
            <w:tcMar>
              <w:top w:w="0" w:type="dxa"/>
              <w:bottom w:w="0" w:type="dxa"/>
            </w:tcMar>
            <w:vAlign w:val="center"/>
          </w:tcPr>
          <w:p w:rsidR="002446FF" w:rsidRDefault="00000000">
            <w:pPr>
              <w:keepNext/>
              <w:keepLines/>
              <w:spacing w:after="0" w:line="240" w:lineRule="auto"/>
            </w:pPr>
            <w:r>
              <w:rPr>
                <w:sz w:val="18"/>
              </w:rPr>
              <w:t>Opće javne usluge (šifre 011+012+013+014 do 018)</w:t>
            </w:r>
          </w:p>
        </w:tc>
        <w:tc>
          <w:tcPr>
            <w:tcW w:w="700" w:type="dxa"/>
            <w:tcMar>
              <w:top w:w="0" w:type="dxa"/>
              <w:bottom w:w="0" w:type="dxa"/>
            </w:tcMar>
            <w:vAlign w:val="center"/>
          </w:tcPr>
          <w:p w:rsidR="002446FF" w:rsidRDefault="00000000">
            <w:pPr>
              <w:keepNext/>
              <w:keepLines/>
              <w:spacing w:after="0" w:line="240" w:lineRule="auto"/>
            </w:pPr>
            <w:r>
              <w:rPr>
                <w:sz w:val="18"/>
              </w:rPr>
              <w:t>01</w:t>
            </w:r>
          </w:p>
        </w:tc>
        <w:tc>
          <w:tcPr>
            <w:tcW w:w="1860" w:type="dxa"/>
            <w:tcMar>
              <w:top w:w="0" w:type="dxa"/>
              <w:bottom w:w="0" w:type="dxa"/>
            </w:tcMar>
            <w:vAlign w:val="center"/>
          </w:tcPr>
          <w:p w:rsidR="002446FF" w:rsidRDefault="00000000">
            <w:pPr>
              <w:keepNext/>
              <w:keepLines/>
              <w:spacing w:after="0" w:line="240" w:lineRule="auto"/>
              <w:jc w:val="right"/>
            </w:pPr>
            <w:r>
              <w:rPr>
                <w:sz w:val="18"/>
              </w:rPr>
              <w:t>16.681.055,24</w:t>
            </w:r>
          </w:p>
        </w:tc>
        <w:tc>
          <w:tcPr>
            <w:tcW w:w="1860" w:type="dxa"/>
            <w:tcMar>
              <w:top w:w="0" w:type="dxa"/>
              <w:bottom w:w="0" w:type="dxa"/>
            </w:tcMar>
            <w:vAlign w:val="center"/>
          </w:tcPr>
          <w:p w:rsidR="002446FF" w:rsidRDefault="00000000">
            <w:pPr>
              <w:keepNext/>
              <w:keepLines/>
              <w:spacing w:after="0" w:line="240" w:lineRule="auto"/>
              <w:jc w:val="right"/>
            </w:pPr>
            <w:r>
              <w:rPr>
                <w:sz w:val="18"/>
              </w:rPr>
              <w:t>18.774.427,56</w:t>
            </w:r>
          </w:p>
        </w:tc>
        <w:tc>
          <w:tcPr>
            <w:tcW w:w="700" w:type="dxa"/>
            <w:tcMar>
              <w:top w:w="0" w:type="dxa"/>
              <w:bottom w:w="0" w:type="dxa"/>
            </w:tcMar>
            <w:vAlign w:val="center"/>
          </w:tcPr>
          <w:p w:rsidR="002446FF" w:rsidRDefault="00000000">
            <w:pPr>
              <w:keepNext/>
              <w:keepLines/>
              <w:spacing w:after="0" w:line="240" w:lineRule="auto"/>
              <w:jc w:val="right"/>
            </w:pPr>
            <w:r>
              <w:rPr>
                <w:sz w:val="18"/>
              </w:rPr>
              <w:t>112,5</w:t>
            </w:r>
          </w:p>
        </w:tc>
      </w:tr>
    </w:tbl>
    <w:p w:rsidR="002446FF" w:rsidRDefault="002446FF">
      <w:pPr>
        <w:spacing w:after="0"/>
      </w:pPr>
    </w:p>
    <w:p w:rsidR="002446FF" w:rsidRDefault="00000000">
      <w:r>
        <w:t>Rashodi poslovanja razreda 3 (bez rashoda iskazanih na računima prijenosa proračunskim korisnicima iz nadležnog proračuna za financiranje redovne djelatnosti)  i rashodi za nabavu nefinancijske imovine razreda 4 u ukupnom iznosu od 48.752.572,05 eura za 2025. godinu u Osječko-baranjskoj županiji razvrstani su prema svim važećim funkcijama osim funkcije 02 Obrana jer se po toj funkciji nisu izvršavali rashodi. Najzastupljenija funkcija u 2025. godini odnosi se na rashode za opće javne usluge u iznosu od 18.774.427,56 eura dok je 2024. godine bila obrazovanje u ukupnom iznosu od 17.213.820,39 eura.</w:t>
      </w:r>
    </w:p>
    <w:p w:rsidR="002446FF" w:rsidRDefault="002446FF"/>
    <w:p w:rsidR="002446FF" w:rsidRDefault="00000000">
      <w:pPr>
        <w:keepNext/>
        <w:spacing w:line="240" w:lineRule="auto"/>
        <w:jc w:val="center"/>
      </w:pPr>
      <w:r>
        <w:rPr>
          <w:b/>
          <w:sz w:val="28"/>
        </w:rPr>
        <w:t>Promjene u vrijednosti i obujmu imovine i obveza</w:t>
      </w:r>
    </w:p>
    <w:p w:rsidR="002446FF" w:rsidRDefault="00000000">
      <w:pPr>
        <w:keepNext/>
        <w:spacing w:line="240" w:lineRule="auto"/>
        <w:jc w:val="center"/>
      </w:pPr>
      <w:r>
        <w:rPr>
          <w:sz w:val="28"/>
        </w:rPr>
        <w:t>Bilješka 73.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Proizvedena dugotrajna imovina</w:t>
            </w:r>
          </w:p>
        </w:tc>
        <w:tc>
          <w:tcPr>
            <w:tcW w:w="700" w:type="dxa"/>
            <w:tcMar>
              <w:top w:w="0" w:type="dxa"/>
              <w:bottom w:w="0" w:type="dxa"/>
            </w:tcMar>
            <w:vAlign w:val="center"/>
          </w:tcPr>
          <w:p w:rsidR="002446FF" w:rsidRDefault="00000000">
            <w:pPr>
              <w:keepNext/>
              <w:keepLines/>
              <w:spacing w:after="0" w:line="240" w:lineRule="auto"/>
            </w:pPr>
            <w:r>
              <w:rPr>
                <w:sz w:val="18"/>
              </w:rPr>
              <w:t>P003</w:t>
            </w:r>
          </w:p>
        </w:tc>
        <w:tc>
          <w:tcPr>
            <w:tcW w:w="1860" w:type="dxa"/>
            <w:tcMar>
              <w:top w:w="0" w:type="dxa"/>
              <w:bottom w:w="0" w:type="dxa"/>
            </w:tcMar>
            <w:vAlign w:val="center"/>
          </w:tcPr>
          <w:p w:rsidR="002446FF" w:rsidRDefault="00000000">
            <w:pPr>
              <w:keepNext/>
              <w:keepLines/>
              <w:spacing w:after="0" w:line="240" w:lineRule="auto"/>
              <w:jc w:val="right"/>
            </w:pPr>
            <w:r>
              <w:rPr>
                <w:sz w:val="18"/>
              </w:rPr>
              <w:t>257.667,19</w:t>
            </w:r>
          </w:p>
        </w:tc>
        <w:tc>
          <w:tcPr>
            <w:tcW w:w="1860" w:type="dxa"/>
            <w:tcMar>
              <w:top w:w="0" w:type="dxa"/>
              <w:bottom w:w="0" w:type="dxa"/>
            </w:tcMar>
            <w:vAlign w:val="center"/>
          </w:tcPr>
          <w:p w:rsidR="002446FF" w:rsidRDefault="00000000">
            <w:pPr>
              <w:keepNext/>
              <w:keepLines/>
              <w:spacing w:after="0" w:line="240" w:lineRule="auto"/>
              <w:jc w:val="right"/>
            </w:pPr>
            <w:r>
              <w:rPr>
                <w:sz w:val="18"/>
              </w:rPr>
              <w:t>1.691.519,60</w:t>
            </w:r>
          </w:p>
        </w:tc>
        <w:tc>
          <w:tcPr>
            <w:tcW w:w="700" w:type="dxa"/>
            <w:tcMar>
              <w:top w:w="0" w:type="dxa"/>
              <w:bottom w:w="0" w:type="dxa"/>
            </w:tcMar>
            <w:vAlign w:val="center"/>
          </w:tcPr>
          <w:p w:rsidR="002446FF" w:rsidRDefault="00000000">
            <w:pPr>
              <w:keepNext/>
              <w:keepLines/>
              <w:spacing w:after="0" w:line="240" w:lineRule="auto"/>
              <w:jc w:val="right"/>
            </w:pPr>
            <w:r>
              <w:rPr>
                <w:sz w:val="18"/>
              </w:rPr>
              <w:t>656,5</w:t>
            </w:r>
          </w:p>
        </w:tc>
      </w:tr>
    </w:tbl>
    <w:p w:rsidR="002446FF" w:rsidRDefault="002446FF">
      <w:pPr>
        <w:spacing w:after="0"/>
      </w:pPr>
    </w:p>
    <w:p w:rsidR="002446FF" w:rsidRDefault="00000000">
      <w:pPr>
        <w:pStyle w:val="Odlomakpopisa"/>
        <w:numPr>
          <w:ilvl w:val="0"/>
          <w:numId w:val="1"/>
        </w:numPr>
      </w:pPr>
      <w:r>
        <w:t>Rješenje o prihvaćanju Izvješća Središnjeg povjerenstva o obavljenom redovnom popisu imovine i obveza sa stanjem na 31.12.2025. godine (KLASA: 406-01/25-01/18, URBROJ: 2158-02-26-8 od 10.2.2026. godine), </w:t>
      </w:r>
    </w:p>
    <w:p w:rsidR="002446FF" w:rsidRDefault="00000000">
      <w:pPr>
        <w:pStyle w:val="Odlomakpopisa"/>
        <w:numPr>
          <w:ilvl w:val="0"/>
          <w:numId w:val="1"/>
        </w:numPr>
      </w:pPr>
      <w:r>
        <w:t>Rješenje o prihvaćanju Izvješća o obavljenom kontinuiranom popisu dugotrajne nefinancijske imovine tijekom 2025. godine smještene u skladištu na lokaciji Osijek, Županijska 4. (KLASA: 406-01/25-01/11, URBROJ: 2158-02-25-3),</w:t>
      </w:r>
    </w:p>
    <w:p w:rsidR="002446FF" w:rsidRDefault="00000000">
      <w:pPr>
        <w:pStyle w:val="Odlomakpopisa"/>
        <w:numPr>
          <w:ilvl w:val="0"/>
          <w:numId w:val="1"/>
        </w:numPr>
      </w:pPr>
      <w:r>
        <w:t>Ispravak vrijednosti - Plan djelovanja civilne zaštite (KLASA: 406-01/25-01/5, URBROJ: 2158-15/37-25-6), Gospodarski centar (KLASA: 406-01/25-01/5, URBROJ: 2158-15/37-25-7), kontinuirani popis imovine u 2025. godini (KLASA: 406-01/25-01/5, URBROJ: 2158-15/11-25-2), Prostorno-prometna studija (KLASA: 406-01/25-01/5, URBROJ: 2158-15/37-25-7), Hidrotehnički sustav (KLASA: 406-01/25-01/5, URBROJ: 2158-15/37-25-7), Uređenje vinskih cesta, uređenje vinoteke (KLASA: 406-01/25-01/5, URBROJ: 2158-15/37-25-7), Elaborati i projekti za Trg A. Starčevića 2 (KLASA: 406-01/25-01/5, URBROJ: 2158-15/37-25-7), Elaborati i projekti za Županijsku 4 (KLASA: 406-01/25-01/5, URBROJ: 2158-15/37-25-7),</w:t>
      </w:r>
    </w:p>
    <w:p w:rsidR="002446FF" w:rsidRDefault="00000000">
      <w:pPr>
        <w:pStyle w:val="Odlomakpopisa"/>
        <w:numPr>
          <w:ilvl w:val="0"/>
          <w:numId w:val="1"/>
        </w:numPr>
      </w:pPr>
      <w:r>
        <w:t>Rješenje o prijenosu prava vlasništva tableta vijećnicima Skupštine OBŽ  mandat 2021.-2025. godine ( KLASA: 406-01/25-01/3, URBROJ: 2158-02-25-2).</w:t>
      </w:r>
    </w:p>
    <w:p w:rsidR="002446FF" w:rsidRDefault="002446FF"/>
    <w:p w:rsidR="002446FF" w:rsidRDefault="00000000">
      <w:pPr>
        <w:keepNext/>
        <w:spacing w:line="240" w:lineRule="auto"/>
        <w:jc w:val="center"/>
      </w:pPr>
      <w:r>
        <w:rPr>
          <w:sz w:val="28"/>
        </w:rPr>
        <w:lastRenderedPageBreak/>
        <w:t>Bilješka 74.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Financijski instrumenti - dionice i udjeli u glavnici</w:t>
            </w:r>
          </w:p>
        </w:tc>
        <w:tc>
          <w:tcPr>
            <w:tcW w:w="700" w:type="dxa"/>
            <w:tcMar>
              <w:top w:w="0" w:type="dxa"/>
              <w:bottom w:w="0" w:type="dxa"/>
            </w:tcMar>
            <w:vAlign w:val="center"/>
          </w:tcPr>
          <w:p w:rsidR="002446FF" w:rsidRDefault="00000000">
            <w:pPr>
              <w:keepNext/>
              <w:keepLines/>
              <w:spacing w:after="0" w:line="240" w:lineRule="auto"/>
            </w:pPr>
            <w:r>
              <w:rPr>
                <w:sz w:val="18"/>
              </w:rPr>
              <w:t>P013</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7,18</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proofErr w:type="spellStart"/>
      <w:r>
        <w:t>Usklada</w:t>
      </w:r>
      <w:proofErr w:type="spellEnd"/>
      <w:r>
        <w:t xml:space="preserve"> temeljnog kapitala s eurima - </w:t>
      </w:r>
      <w:proofErr w:type="spellStart"/>
      <w:r>
        <w:t>Otpravak</w:t>
      </w:r>
      <w:proofErr w:type="spellEnd"/>
      <w:r>
        <w:t xml:space="preserve"> javnog bilježnika, Valpovo, Poslovni broj: OU-100/2025-1 - </w:t>
      </w:r>
      <w:proofErr w:type="spellStart"/>
      <w:r>
        <w:t>Miholjački</w:t>
      </w:r>
      <w:proofErr w:type="spellEnd"/>
      <w:r>
        <w:t xml:space="preserve"> poduzetnički centar lokalna razvojna agencija d.o.o.</w:t>
      </w:r>
    </w:p>
    <w:p w:rsidR="002446FF" w:rsidRDefault="002446FF"/>
    <w:p w:rsidR="002446FF" w:rsidRDefault="00000000">
      <w:pPr>
        <w:keepNext/>
        <w:spacing w:line="240" w:lineRule="auto"/>
        <w:jc w:val="center"/>
      </w:pPr>
      <w:r>
        <w:rPr>
          <w:sz w:val="28"/>
        </w:rPr>
        <w:t>Bilješka 75.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proofErr w:type="spellStart"/>
            <w:r>
              <w:rPr>
                <w:sz w:val="18"/>
              </w:rPr>
              <w:t>Neproizvedena</w:t>
            </w:r>
            <w:proofErr w:type="spellEnd"/>
            <w:r>
              <w:rPr>
                <w:sz w:val="18"/>
              </w:rPr>
              <w:t xml:space="preserve"> dugotrajna imovina</w:t>
            </w:r>
          </w:p>
        </w:tc>
        <w:tc>
          <w:tcPr>
            <w:tcW w:w="700" w:type="dxa"/>
            <w:tcMar>
              <w:top w:w="0" w:type="dxa"/>
              <w:bottom w:w="0" w:type="dxa"/>
            </w:tcMar>
            <w:vAlign w:val="center"/>
          </w:tcPr>
          <w:p w:rsidR="002446FF" w:rsidRDefault="00000000">
            <w:pPr>
              <w:keepNext/>
              <w:keepLines/>
              <w:spacing w:after="0" w:line="240" w:lineRule="auto"/>
            </w:pPr>
            <w:r>
              <w:rPr>
                <w:sz w:val="18"/>
              </w:rPr>
              <w:t>P017</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25.071,39</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Rješenje o prihvaćanju Izvješća Središnjeg povjerenstva o obavljenom redovnom popisu imovine i obveza sa stanjem na 31.12.2025. godine (KLASA: 406-01/25-01/18, URBROJ: 2158-02-26-8 od 10.2.2026. godine)</w:t>
      </w:r>
    </w:p>
    <w:p w:rsidR="002446FF" w:rsidRDefault="002446FF"/>
    <w:p w:rsidR="002446FF" w:rsidRDefault="00000000">
      <w:pPr>
        <w:keepNext/>
        <w:spacing w:line="240" w:lineRule="auto"/>
        <w:jc w:val="center"/>
      </w:pPr>
      <w:r>
        <w:rPr>
          <w:sz w:val="28"/>
        </w:rPr>
        <w:t>Bilješka 76.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Proizvedena dugotrajna imovina</w:t>
            </w:r>
          </w:p>
        </w:tc>
        <w:tc>
          <w:tcPr>
            <w:tcW w:w="700" w:type="dxa"/>
            <w:tcMar>
              <w:top w:w="0" w:type="dxa"/>
              <w:bottom w:w="0" w:type="dxa"/>
            </w:tcMar>
            <w:vAlign w:val="center"/>
          </w:tcPr>
          <w:p w:rsidR="002446FF" w:rsidRDefault="00000000">
            <w:pPr>
              <w:keepNext/>
              <w:keepLines/>
              <w:spacing w:after="0" w:line="240" w:lineRule="auto"/>
            </w:pPr>
            <w:r>
              <w:rPr>
                <w:sz w:val="18"/>
              </w:rPr>
              <w:t>P018</w:t>
            </w:r>
          </w:p>
        </w:tc>
        <w:tc>
          <w:tcPr>
            <w:tcW w:w="1860" w:type="dxa"/>
            <w:tcMar>
              <w:top w:w="0" w:type="dxa"/>
              <w:bottom w:w="0" w:type="dxa"/>
            </w:tcMar>
            <w:vAlign w:val="center"/>
          </w:tcPr>
          <w:p w:rsidR="002446FF" w:rsidRDefault="00000000">
            <w:pPr>
              <w:keepNext/>
              <w:keepLines/>
              <w:spacing w:after="0" w:line="240" w:lineRule="auto"/>
              <w:jc w:val="right"/>
            </w:pPr>
            <w:r>
              <w:rPr>
                <w:sz w:val="18"/>
              </w:rPr>
              <w:t>13.200,00</w:t>
            </w:r>
          </w:p>
        </w:tc>
        <w:tc>
          <w:tcPr>
            <w:tcW w:w="1860" w:type="dxa"/>
            <w:tcMar>
              <w:top w:w="0" w:type="dxa"/>
              <w:bottom w:w="0" w:type="dxa"/>
            </w:tcMar>
            <w:vAlign w:val="center"/>
          </w:tcPr>
          <w:p w:rsidR="002446FF" w:rsidRDefault="00000000">
            <w:pPr>
              <w:keepNext/>
              <w:keepLines/>
              <w:spacing w:after="0" w:line="240" w:lineRule="auto"/>
              <w:jc w:val="right"/>
            </w:pPr>
            <w:r>
              <w:rPr>
                <w:sz w:val="18"/>
              </w:rPr>
              <w:t>3.875.199,91</w:t>
            </w:r>
          </w:p>
        </w:tc>
        <w:tc>
          <w:tcPr>
            <w:tcW w:w="700" w:type="dxa"/>
            <w:tcMar>
              <w:top w:w="0" w:type="dxa"/>
              <w:bottom w:w="0" w:type="dxa"/>
            </w:tcMar>
            <w:vAlign w:val="center"/>
          </w:tcPr>
          <w:p w:rsidR="002446FF" w:rsidRDefault="00000000">
            <w:pPr>
              <w:keepNext/>
              <w:keepLines/>
              <w:spacing w:after="0" w:line="240" w:lineRule="auto"/>
              <w:jc w:val="right"/>
            </w:pPr>
            <w:r>
              <w:rPr>
                <w:sz w:val="18"/>
              </w:rPr>
              <w:t>&gt;&gt;100</w:t>
            </w:r>
          </w:p>
        </w:tc>
      </w:tr>
    </w:tbl>
    <w:p w:rsidR="002446FF" w:rsidRDefault="002446FF">
      <w:pPr>
        <w:spacing w:after="0"/>
      </w:pPr>
    </w:p>
    <w:p w:rsidR="002446FF" w:rsidRDefault="00000000">
      <w:pPr>
        <w:pStyle w:val="Odlomakpopisa"/>
        <w:numPr>
          <w:ilvl w:val="0"/>
          <w:numId w:val="1"/>
        </w:numPr>
      </w:pPr>
      <w:r>
        <w:t xml:space="preserve">Ugovor o darivanju 206-03/2024-zk.c.br. 4/7 i zk.č.br. 4/8 </w:t>
      </w:r>
      <w:proofErr w:type="spellStart"/>
      <w:r>
        <w:t>k.o.o</w:t>
      </w:r>
      <w:proofErr w:type="spellEnd"/>
      <w:r>
        <w:t xml:space="preserve"> </w:t>
      </w:r>
      <w:proofErr w:type="spellStart"/>
      <w:r>
        <w:t>Orlovnjak</w:t>
      </w:r>
      <w:proofErr w:type="spellEnd"/>
      <w:r>
        <w:t>-centar crne slavonske svinje-fajferica,</w:t>
      </w:r>
    </w:p>
    <w:p w:rsidR="002446FF" w:rsidRDefault="00000000">
      <w:pPr>
        <w:pStyle w:val="Odlomakpopisa"/>
        <w:numPr>
          <w:ilvl w:val="0"/>
          <w:numId w:val="1"/>
        </w:numPr>
      </w:pPr>
      <w:r>
        <w:t>Rješenje o prijenosu vrijednosti nefinancijske imovine Drugoj srednjoj školi Beli Manastir (KLASA: 401-02/24-01/5, URBROJ: 2158-02-25-76),</w:t>
      </w:r>
    </w:p>
    <w:p w:rsidR="002446FF" w:rsidRDefault="00000000">
      <w:pPr>
        <w:pStyle w:val="Odlomakpopisa"/>
        <w:numPr>
          <w:ilvl w:val="0"/>
          <w:numId w:val="1"/>
        </w:numPr>
      </w:pPr>
      <w:r>
        <w:t xml:space="preserve">Rješenje o prijenosu vrijednosti nefinancijske imovine OŠ Ante Starčević </w:t>
      </w:r>
      <w:proofErr w:type="spellStart"/>
      <w:r>
        <w:t>Viljevo</w:t>
      </w:r>
      <w:proofErr w:type="spellEnd"/>
      <w:r>
        <w:t xml:space="preserve"> (KLASA: 401-02/24-01/5, URBROJ: 2158-02-25-71),</w:t>
      </w:r>
    </w:p>
    <w:p w:rsidR="002446FF" w:rsidRDefault="00000000">
      <w:pPr>
        <w:pStyle w:val="Odlomakpopisa"/>
        <w:numPr>
          <w:ilvl w:val="0"/>
          <w:numId w:val="1"/>
        </w:numPr>
      </w:pPr>
      <w:r>
        <w:t>Rješenje o prijenosu prava vlasništva i knjigovodstvene vrijednosti darovanjem računala OŠ Antunovac (KLASA: 406-01/25-01/15, URBROJ: 2158-02-25-3),</w:t>
      </w:r>
    </w:p>
    <w:p w:rsidR="002446FF" w:rsidRDefault="00000000">
      <w:pPr>
        <w:pStyle w:val="Odlomakpopisa"/>
        <w:numPr>
          <w:ilvl w:val="0"/>
          <w:numId w:val="1"/>
        </w:numPr>
      </w:pPr>
      <w:r>
        <w:t>Rješenje o prijenosu vrijednosti nefinancijske imovine OŠ Hrvatski sokol, Podgajci Podravski (KLASA: 401-02/24-01/5, URBROJ: 2158-02-25-72),</w:t>
      </w:r>
    </w:p>
    <w:p w:rsidR="002446FF" w:rsidRDefault="00000000">
      <w:pPr>
        <w:pStyle w:val="Odlomakpopisa"/>
        <w:numPr>
          <w:ilvl w:val="0"/>
          <w:numId w:val="1"/>
        </w:numPr>
      </w:pPr>
      <w:r>
        <w:t xml:space="preserve">Rješenje o prijenosu vrijednosti nefinancijske imovine OŠ Matija Gubec, </w:t>
      </w:r>
      <w:proofErr w:type="spellStart"/>
      <w:r>
        <w:t>Čeminac</w:t>
      </w:r>
      <w:proofErr w:type="spellEnd"/>
      <w:r>
        <w:t xml:space="preserve"> (KLASA: 401-02/24-01/5, URBROJ: 2158-02-25-73),</w:t>
      </w:r>
    </w:p>
    <w:p w:rsidR="002446FF" w:rsidRDefault="00000000">
      <w:pPr>
        <w:pStyle w:val="Odlomakpopisa"/>
        <w:numPr>
          <w:ilvl w:val="0"/>
          <w:numId w:val="1"/>
        </w:numPr>
      </w:pPr>
      <w:r>
        <w:t>Rješenje o prijenosu vrijednosti nefinancijske imovine OŠ Šećerana, Šećerana (KLASA: 401-02/24-01/5, URBROJ: 2158-02-25-74),</w:t>
      </w:r>
    </w:p>
    <w:p w:rsidR="002446FF" w:rsidRDefault="00000000">
      <w:pPr>
        <w:pStyle w:val="Odlomakpopisa"/>
        <w:numPr>
          <w:ilvl w:val="0"/>
          <w:numId w:val="1"/>
        </w:numPr>
      </w:pPr>
      <w:r>
        <w:t>Rješenje o prijenosu vrijednosti nefinancijske imovine OŠ Zmajevac, Zmajevac (KLASA: 401-02/24-01/5, URBROJ: 2158-02-25-75),</w:t>
      </w:r>
    </w:p>
    <w:p w:rsidR="002446FF" w:rsidRDefault="00000000">
      <w:pPr>
        <w:pStyle w:val="Odlomakpopisa"/>
        <w:numPr>
          <w:ilvl w:val="0"/>
          <w:numId w:val="1"/>
        </w:numPr>
      </w:pPr>
      <w:r>
        <w:lastRenderedPageBreak/>
        <w:t>Ispravak vrijednosti osnovnih sredstava za 2025. godinu (KLASA: 406-01/25-01/5, URBROJ: 2158-15/11-26-10),</w:t>
      </w:r>
    </w:p>
    <w:p w:rsidR="002446FF" w:rsidRDefault="00000000">
      <w:pPr>
        <w:pStyle w:val="Odlomakpopisa"/>
        <w:numPr>
          <w:ilvl w:val="0"/>
          <w:numId w:val="1"/>
        </w:numPr>
      </w:pPr>
      <w:r>
        <w:t>Rješenje o prihvaćanju Izvješća Središnjeg povjerenstva o obavljenom redovnom popisu imovine i obveza sa stanjem na 31.12.2025. godine (KLASA: 406-01/25-01/18, URBROJ: 2158-02-26-8 od 10.2.2026. godine)</w:t>
      </w:r>
    </w:p>
    <w:p w:rsidR="002446FF" w:rsidRDefault="002446FF"/>
    <w:p w:rsidR="002446FF" w:rsidRDefault="00000000">
      <w:pPr>
        <w:keepNext/>
        <w:spacing w:line="240" w:lineRule="auto"/>
        <w:jc w:val="center"/>
      </w:pPr>
      <w:r>
        <w:rPr>
          <w:sz w:val="28"/>
        </w:rPr>
        <w:t>Bilješka 77.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Dugotrajna nefinancijska imovina u pripremi</w:t>
            </w:r>
          </w:p>
        </w:tc>
        <w:tc>
          <w:tcPr>
            <w:tcW w:w="700" w:type="dxa"/>
            <w:tcMar>
              <w:top w:w="0" w:type="dxa"/>
              <w:bottom w:w="0" w:type="dxa"/>
            </w:tcMar>
            <w:vAlign w:val="center"/>
          </w:tcPr>
          <w:p w:rsidR="002446FF" w:rsidRDefault="00000000">
            <w:pPr>
              <w:keepNext/>
              <w:keepLines/>
              <w:spacing w:after="0" w:line="240" w:lineRule="auto"/>
            </w:pPr>
            <w:r>
              <w:rPr>
                <w:sz w:val="18"/>
              </w:rPr>
              <w:t>P021</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pPr>
        <w:pStyle w:val="Odlomakpopisa"/>
        <w:numPr>
          <w:ilvl w:val="0"/>
          <w:numId w:val="1"/>
        </w:numPr>
      </w:pPr>
      <w:r>
        <w:t>Rješenje o prijenosu vrijednosti nefinancijske imovine Centru za autizam, Osijek (KLASA: 404-04/25-01/41, URBROJ: 2158-02-25-9),</w:t>
      </w:r>
    </w:p>
    <w:p w:rsidR="002446FF" w:rsidRDefault="00000000">
      <w:pPr>
        <w:pStyle w:val="Odlomakpopisa"/>
        <w:numPr>
          <w:ilvl w:val="0"/>
          <w:numId w:val="1"/>
        </w:numPr>
      </w:pPr>
      <w:r>
        <w:t>Rješenje o prijenosu vrijednosti nefinancijske imovine Elektrotehničkoj i prometnoj školi Osijek (KLASA: 401-02/24-01/5, URBROJ: 2158-02-25-85),</w:t>
      </w:r>
    </w:p>
    <w:p w:rsidR="002446FF" w:rsidRDefault="00000000">
      <w:pPr>
        <w:pStyle w:val="Odlomakpopisa"/>
        <w:numPr>
          <w:ilvl w:val="0"/>
          <w:numId w:val="1"/>
        </w:numPr>
      </w:pPr>
      <w:r>
        <w:t>Rješenje o prijenosu knjigovodstvene vrijednosti nefinancijske imovine Graditeljsko-geodetskoj školi Osijek (KLASA: 401-02/24-01/5, URBROJ: 2158-02-25-36), (KLASA: 401-02/24-01/5, URBROJ: 2158-02-25-86),</w:t>
      </w:r>
    </w:p>
    <w:p w:rsidR="002446FF" w:rsidRDefault="00000000">
      <w:pPr>
        <w:pStyle w:val="Odlomakpopisa"/>
        <w:numPr>
          <w:ilvl w:val="0"/>
          <w:numId w:val="1"/>
        </w:numPr>
      </w:pPr>
      <w:r>
        <w:t xml:space="preserve">Rješenje o prijenosu vrijednosti nefinancijske imovine OŠ Ante Starčevića </w:t>
      </w:r>
      <w:proofErr w:type="spellStart"/>
      <w:r>
        <w:t>Viljevo</w:t>
      </w:r>
      <w:proofErr w:type="spellEnd"/>
      <w:r>
        <w:t xml:space="preserve"> (KLASA: 401-02/24-01/5, URBROJ: 2158-02-25-98),</w:t>
      </w:r>
    </w:p>
    <w:p w:rsidR="002446FF" w:rsidRDefault="00000000">
      <w:pPr>
        <w:pStyle w:val="Odlomakpopisa"/>
        <w:numPr>
          <w:ilvl w:val="0"/>
          <w:numId w:val="1"/>
        </w:numPr>
      </w:pPr>
      <w:r>
        <w:t>Rješenje o prijenosu vrijednosti nefinancijske imovine OŠ Antunovac (KLASA: 401-02/24-01/5, URBROJ: 2158-02-25-97),</w:t>
      </w:r>
    </w:p>
    <w:p w:rsidR="002446FF" w:rsidRDefault="00000000">
      <w:pPr>
        <w:pStyle w:val="Odlomakpopisa"/>
        <w:numPr>
          <w:ilvl w:val="0"/>
          <w:numId w:val="1"/>
        </w:numPr>
      </w:pPr>
      <w:r>
        <w:t>Rješenje o prijenosu vrijednosti nefinancijske imovine OŠ August Harambašić Donji Miholjac (KLASA: 401-02/24-01/5, URBROJ: 2158-02-25-100),</w:t>
      </w:r>
    </w:p>
    <w:p w:rsidR="002446FF" w:rsidRDefault="00000000">
      <w:pPr>
        <w:pStyle w:val="Odlomakpopisa"/>
        <w:numPr>
          <w:ilvl w:val="0"/>
          <w:numId w:val="1"/>
        </w:numPr>
      </w:pPr>
      <w:r>
        <w:t>Rješenje o prijenosu knjigovodstvene vrijednosti nefinancijske imovine OŠ Bilje (KLASA: 401-02/24-01/5, URBROJ: 2158-02-25-55),</w:t>
      </w:r>
    </w:p>
    <w:p w:rsidR="002446FF" w:rsidRDefault="00000000">
      <w:pPr>
        <w:pStyle w:val="Odlomakpopisa"/>
        <w:numPr>
          <w:ilvl w:val="0"/>
          <w:numId w:val="1"/>
        </w:numPr>
      </w:pPr>
      <w:r>
        <w:t>Rješenje o prijenosu knjigovodstvene vrijednosti nefinancijske imovine OŠ Budrovci (KLASA: 401-02/24-01/5, URBROJ: 2158-02-25-31), (KLASA: 404-04/25-01/44, URBROJ: 2158-02-25-10),</w:t>
      </w:r>
    </w:p>
    <w:p w:rsidR="002446FF" w:rsidRDefault="00000000">
      <w:pPr>
        <w:pStyle w:val="Odlomakpopisa"/>
        <w:numPr>
          <w:ilvl w:val="0"/>
          <w:numId w:val="1"/>
        </w:numPr>
      </w:pPr>
      <w:r>
        <w:t>Rješenje o prijenosu knjigovodstvene vrijednosti nefinancijske imovine OŠ Dore Pejačević Našice (KLASA: 401-02/24-01/5, URBROJ: 2158-02-25-53), (KLASA: 401-02/24-01/5, URBROJ: 2158-02-25-62), (KLASA: 401-02/24-01/5, URBROJ: 2158-02-25-96),</w:t>
      </w:r>
    </w:p>
    <w:p w:rsidR="002446FF" w:rsidRDefault="00000000">
      <w:pPr>
        <w:pStyle w:val="Odlomakpopisa"/>
        <w:numPr>
          <w:ilvl w:val="0"/>
          <w:numId w:val="1"/>
        </w:numPr>
      </w:pPr>
      <w:r>
        <w:t>Rješenje o prijenosu knjigovodstvene vrijednosti nefinancijske imovine OŠ Drenje (KLASA: 401-02/24-01/5, URBROJ: 2158-02-25-32),</w:t>
      </w:r>
    </w:p>
    <w:p w:rsidR="002446FF" w:rsidRDefault="00000000">
      <w:pPr>
        <w:pStyle w:val="Odlomakpopisa"/>
        <w:numPr>
          <w:ilvl w:val="0"/>
          <w:numId w:val="1"/>
        </w:numPr>
      </w:pPr>
      <w:r>
        <w:t>Rješenje o prijenosu vrijednosti nefinancijske imovine OŠ Dr. Franjo Tuđman Beli Manastir (KLASA: 401-02/24-01/5, URBROJ: 2158-02-25-89),</w:t>
      </w:r>
    </w:p>
    <w:p w:rsidR="002446FF" w:rsidRDefault="00000000">
      <w:pPr>
        <w:pStyle w:val="Odlomakpopisa"/>
        <w:numPr>
          <w:ilvl w:val="0"/>
          <w:numId w:val="1"/>
        </w:numPr>
      </w:pPr>
      <w:r>
        <w:t>Rješenje o prijenosu knjigovodstvene vrijednosti nefinancijske imovine OŠ Đakovački Selci, Selci Đakovački (KLASA: 404-04/25-01/42, URBROJ: 2158-02-25-9),(KLASA: 404-04/25-01/7, URBROJ: 2158-02-25-19), (KLASA: 401-02/24-01/5, URBROJ: 2158-02-25-102),</w:t>
      </w:r>
    </w:p>
    <w:p w:rsidR="002446FF" w:rsidRDefault="00000000">
      <w:pPr>
        <w:pStyle w:val="Odlomakpopisa"/>
        <w:numPr>
          <w:ilvl w:val="0"/>
          <w:numId w:val="1"/>
        </w:numPr>
      </w:pPr>
      <w:r>
        <w:t>Rješenje o prijenosu knjigovodstvene vrijednosti nefinancijske imovine OŠ Ernestinovo (KLASA: 401-02/24-01/5, URBROJ: 2158-02-25-54), (KLASA: 401-02/24-01/5, URBROJ: 2158-02-25-55), (KLASA: 401-02/24-01/5, URBROJ: 2158-02-25-57), (KLASA: 404-04/25-01/6, URBROJ: 2158-02-25-30),</w:t>
      </w:r>
    </w:p>
    <w:p w:rsidR="002446FF" w:rsidRDefault="00000000">
      <w:pPr>
        <w:pStyle w:val="Odlomakpopisa"/>
        <w:numPr>
          <w:ilvl w:val="0"/>
          <w:numId w:val="1"/>
        </w:numPr>
      </w:pPr>
      <w:r>
        <w:t>Rješenje o prijenosu knjigovodstvene vrijednosti nefinancijske imovine OŠ Gorjani (KLASA: 401-02/24-01/5, URBROJ: 2158-02-25-26),</w:t>
      </w:r>
    </w:p>
    <w:p w:rsidR="002446FF" w:rsidRDefault="00000000">
      <w:pPr>
        <w:pStyle w:val="Odlomakpopisa"/>
        <w:numPr>
          <w:ilvl w:val="0"/>
          <w:numId w:val="1"/>
        </w:numPr>
      </w:pPr>
      <w:r>
        <w:lastRenderedPageBreak/>
        <w:t>Rješenje o prijenosu vrijednosti nefinancijske imovine OŠ Ivan Goran Kovačić, Đakovo (KLASA: 401-02/24-01/5, URBROJ: 2158-02-25-101),</w:t>
      </w:r>
    </w:p>
    <w:p w:rsidR="002446FF" w:rsidRDefault="00000000">
      <w:pPr>
        <w:pStyle w:val="Odlomakpopisa"/>
        <w:numPr>
          <w:ilvl w:val="0"/>
          <w:numId w:val="1"/>
        </w:numPr>
      </w:pPr>
      <w:r>
        <w:t>Rješenje o prijenosu knjigovodstvene vrijednosti nefinancijske imovine OŠ Ivana Brlić Mažuranić (KLASA: 401-02/24-01/5, URBROJ: 2158-02-25-33),</w:t>
      </w:r>
    </w:p>
    <w:p w:rsidR="002446FF" w:rsidRDefault="00000000">
      <w:pPr>
        <w:pStyle w:val="Odlomakpopisa"/>
        <w:numPr>
          <w:ilvl w:val="0"/>
          <w:numId w:val="1"/>
        </w:numPr>
      </w:pPr>
      <w:r>
        <w:t xml:space="preserve">Rješenje o prijenosu knjigovodstvene vrijednosti nefinancijske imovine OŠ Ivana </w:t>
      </w:r>
      <w:proofErr w:type="spellStart"/>
      <w:r>
        <w:t>Brnjika</w:t>
      </w:r>
      <w:proofErr w:type="spellEnd"/>
      <w:r>
        <w:t xml:space="preserve"> Slovaka, </w:t>
      </w:r>
      <w:proofErr w:type="spellStart"/>
      <w:r>
        <w:t>Jelisavac</w:t>
      </w:r>
      <w:proofErr w:type="spellEnd"/>
      <w:r>
        <w:t xml:space="preserve"> (KLASA: 401-02/24-01/5, URBROJ: 2158-02-25-38),(KLASA: 401-02/24-01/5, URBROJ: 2158-02-25-94),</w:t>
      </w:r>
    </w:p>
    <w:p w:rsidR="002446FF" w:rsidRDefault="00000000">
      <w:pPr>
        <w:pStyle w:val="Odlomakpopisa"/>
        <w:numPr>
          <w:ilvl w:val="0"/>
          <w:numId w:val="1"/>
        </w:numPr>
      </w:pPr>
      <w:r>
        <w:t>Rješenje o prijenosu vrijednosti nefinancijske imovine OŠ Ivana Kukuljevića, Belišće (KLASA: 401-02/24-01/5, URBROJ: 2158-02-25-99),</w:t>
      </w:r>
    </w:p>
    <w:p w:rsidR="002446FF" w:rsidRDefault="00000000">
      <w:pPr>
        <w:pStyle w:val="Odlomakpopisa"/>
        <w:numPr>
          <w:ilvl w:val="0"/>
          <w:numId w:val="1"/>
        </w:numPr>
      </w:pPr>
      <w:r>
        <w:t xml:space="preserve">Rješenje o prijenosu knjigovodstvene vrijednosti nefinancijske imovine OŠ Josipa Antuna </w:t>
      </w:r>
      <w:proofErr w:type="spellStart"/>
      <w:r>
        <w:t>Ćolnića</w:t>
      </w:r>
      <w:proofErr w:type="spellEnd"/>
      <w:r>
        <w:t>, Đakovo (KLASA: 401-02/24-01/5, URBROJ: 2158-02-25-34),</w:t>
      </w:r>
    </w:p>
    <w:p w:rsidR="002446FF" w:rsidRDefault="00000000">
      <w:pPr>
        <w:pStyle w:val="Odlomakpopisa"/>
        <w:numPr>
          <w:ilvl w:val="0"/>
          <w:numId w:val="1"/>
        </w:numPr>
      </w:pPr>
      <w:r>
        <w:t>Rješenje o prijenosu vrijednosti nefinancijske imovine OŠ Josipa Kozarca, Semeljci (KLASA: 401-02/24-01/5, URBROJ: 2158-02-25-103),</w:t>
      </w:r>
    </w:p>
    <w:p w:rsidR="002446FF" w:rsidRDefault="00000000">
      <w:pPr>
        <w:pStyle w:val="Odlomakpopisa"/>
        <w:numPr>
          <w:ilvl w:val="0"/>
          <w:numId w:val="1"/>
        </w:numPr>
      </w:pPr>
      <w:r>
        <w:t xml:space="preserve">Rješenje o prijenosu knjigovodstvene vrijednosti nefinancijske imovine OŠ Mate Lovraka, </w:t>
      </w:r>
      <w:proofErr w:type="spellStart"/>
      <w:r>
        <w:t>Vladislavci</w:t>
      </w:r>
      <w:proofErr w:type="spellEnd"/>
      <w:r>
        <w:t xml:space="preserve"> (KLASA: 401-02/24-01/5, URBROJ: 2158-02-25-28),</w:t>
      </w:r>
    </w:p>
    <w:p w:rsidR="002446FF" w:rsidRDefault="00000000">
      <w:pPr>
        <w:pStyle w:val="Odlomakpopisa"/>
        <w:numPr>
          <w:ilvl w:val="0"/>
          <w:numId w:val="1"/>
        </w:numPr>
      </w:pPr>
      <w:r>
        <w:t xml:space="preserve">Rješenje o prijenosu vrijednosti nefinancijske imovine OŠ Matija Gubec, </w:t>
      </w:r>
      <w:proofErr w:type="spellStart"/>
      <w:r>
        <w:t>Čeminac</w:t>
      </w:r>
      <w:proofErr w:type="spellEnd"/>
      <w:r>
        <w:t xml:space="preserve"> (KLASA: 401-02/24-01/5, URBROJ: 2158-02-25-88),</w:t>
      </w:r>
    </w:p>
    <w:p w:rsidR="002446FF" w:rsidRDefault="00000000">
      <w:pPr>
        <w:pStyle w:val="Odlomakpopisa"/>
        <w:numPr>
          <w:ilvl w:val="0"/>
          <w:numId w:val="1"/>
        </w:numPr>
      </w:pPr>
      <w:r>
        <w:t>Rješenje o prijenosu knjigovodstvene vrijednosti nefinancijske imovine OŠ Matija Gubec, Magadenovac(KLASA: 401-02/24-01/5, URBROJ: 2158-02-25-58),(KLASA: 404-04/25-01/24, URBROJ: 2158-02-25-9), (KLASA: 401-02/24-01/5, URBROJ: 2158-02-25-93),</w:t>
      </w:r>
    </w:p>
    <w:p w:rsidR="002446FF" w:rsidRDefault="00000000">
      <w:pPr>
        <w:pStyle w:val="Odlomakpopisa"/>
        <w:numPr>
          <w:ilvl w:val="0"/>
          <w:numId w:val="1"/>
        </w:numPr>
      </w:pPr>
      <w:r>
        <w:t>Rješenje o prijenosu knjigovodstvene vrijednosti nefinancijske imovine OŠ Matija Gubec, Piškorevci (KLASA: 401-02/24-01/5, URBROJ: 2158-02-25-30),</w:t>
      </w:r>
    </w:p>
    <w:p w:rsidR="002446FF" w:rsidRDefault="00000000">
      <w:pPr>
        <w:pStyle w:val="Odlomakpopisa"/>
        <w:numPr>
          <w:ilvl w:val="0"/>
          <w:numId w:val="1"/>
        </w:numPr>
      </w:pPr>
      <w:r>
        <w:t xml:space="preserve">Rješenje o prijenosu knjigovodstvene vrijednosti nefinancijske imovine OŠ Milka </w:t>
      </w:r>
      <w:proofErr w:type="spellStart"/>
      <w:r>
        <w:t>Cepelića</w:t>
      </w:r>
      <w:proofErr w:type="spellEnd"/>
      <w:r>
        <w:t>, Vuka(KLASA: 401-02/24-01/5, URBROJ: 2158-02-25-59), (KLASA: 401-02/24-01/5, URBROJ: 2158-02-25-90),</w:t>
      </w:r>
    </w:p>
    <w:p w:rsidR="002446FF" w:rsidRDefault="00000000">
      <w:pPr>
        <w:pStyle w:val="Odlomakpopisa"/>
        <w:numPr>
          <w:ilvl w:val="0"/>
          <w:numId w:val="1"/>
        </w:numPr>
      </w:pPr>
      <w:r>
        <w:t>Rješenje o prijenosu knjigovodstvene vrijednosti nefinancijske imovine OŠ Miroslava Krleže, Čepin (KLASA: 404-04/25-01/38, URBROJ: 2158-02-25-8),</w:t>
      </w:r>
    </w:p>
    <w:p w:rsidR="002446FF" w:rsidRDefault="00000000">
      <w:pPr>
        <w:pStyle w:val="Odlomakpopisa"/>
        <w:numPr>
          <w:ilvl w:val="0"/>
          <w:numId w:val="1"/>
        </w:numPr>
      </w:pPr>
      <w:r>
        <w:t>Rješenje o prijenosu knjigovodstvene vrijednosti nefinancijske imovine OŠ Popovac (KLASA: 401-02/24-01/5, URBROJ: 2158-02-25-27),</w:t>
      </w:r>
    </w:p>
    <w:p w:rsidR="002446FF" w:rsidRDefault="00000000">
      <w:pPr>
        <w:pStyle w:val="Odlomakpopisa"/>
        <w:numPr>
          <w:ilvl w:val="0"/>
          <w:numId w:val="1"/>
        </w:numPr>
      </w:pPr>
      <w:r>
        <w:t>Rješenje o prijenosu knjigovodstvene vrijednosti nefinancijske imovine OŠ Satnica Đakovačka (KLASA: 401-02/24-01/5, URBROJ: 2158-02-25-60), (KLASA: 404-04/25-01/36, URBROJ: 2158-02-25-8),</w:t>
      </w:r>
    </w:p>
    <w:p w:rsidR="002446FF" w:rsidRDefault="00000000">
      <w:pPr>
        <w:pStyle w:val="Odlomakpopisa"/>
        <w:numPr>
          <w:ilvl w:val="0"/>
          <w:numId w:val="1"/>
        </w:numPr>
      </w:pPr>
      <w:r>
        <w:t xml:space="preserve">Rješenje o prijenosu knjigovodstvene vrijednosti nefinancijske imovine OŠ S.S. Kranjčević, </w:t>
      </w:r>
      <w:proofErr w:type="spellStart"/>
      <w:r>
        <w:t>Levanjska</w:t>
      </w:r>
      <w:proofErr w:type="spellEnd"/>
      <w:r>
        <w:t xml:space="preserve"> Varoš (KLASA: 401-02/24-01/5, URBROJ: 2158-02-25-25), (KLASA: 401-02/24-01/5, URBROJ: 2158-02-25-87),</w:t>
      </w:r>
    </w:p>
    <w:p w:rsidR="002446FF" w:rsidRDefault="00000000">
      <w:pPr>
        <w:pStyle w:val="Odlomakpopisa"/>
        <w:numPr>
          <w:ilvl w:val="0"/>
          <w:numId w:val="1"/>
        </w:numPr>
      </w:pPr>
      <w:r>
        <w:t>Rješenje o prijenosu knjigovodstvene vrijednosti nefinancijske imovine OŠ Popovac (KLASA: 401-02/24-01/5, URBROJ: 2158-02-25-35),</w:t>
      </w:r>
    </w:p>
    <w:p w:rsidR="002446FF" w:rsidRDefault="00000000">
      <w:pPr>
        <w:pStyle w:val="Odlomakpopisa"/>
        <w:numPr>
          <w:ilvl w:val="0"/>
          <w:numId w:val="1"/>
        </w:numPr>
      </w:pPr>
      <w:r>
        <w:t>Rješenje o prijenosu vrijednosti nefinancijske imovine OŠ Vladimir Nazor, Čepin (KLASA: 401-02/24-01/5, URBROJ: 2158-02-25-91),</w:t>
      </w:r>
    </w:p>
    <w:p w:rsidR="002446FF" w:rsidRDefault="00000000">
      <w:pPr>
        <w:pStyle w:val="Odlomakpopisa"/>
        <w:numPr>
          <w:ilvl w:val="0"/>
          <w:numId w:val="1"/>
        </w:numPr>
      </w:pPr>
      <w:r>
        <w:t>Rješenje o prijenosu vrijednosti nefinancijske imovine Srednja škola Donji Miholjac (KLASA: 401-02/24-01/5, URBROJ: 2158-02-25-95),</w:t>
      </w:r>
    </w:p>
    <w:p w:rsidR="002446FF" w:rsidRDefault="00000000">
      <w:pPr>
        <w:pStyle w:val="Odlomakpopisa"/>
        <w:numPr>
          <w:ilvl w:val="0"/>
          <w:numId w:val="1"/>
        </w:numPr>
      </w:pPr>
      <w:r>
        <w:t>Rješenje o prijenosu vrijednosti nefinancijske imovine Srednja škola Isidora Kršnjavoga Našice (KLASA: 401-02/24-01/5, URBROJ: 2158-02-25-92),</w:t>
      </w:r>
    </w:p>
    <w:p w:rsidR="002446FF" w:rsidRDefault="00000000">
      <w:pPr>
        <w:pStyle w:val="Odlomakpopisa"/>
        <w:numPr>
          <w:ilvl w:val="0"/>
          <w:numId w:val="1"/>
        </w:numPr>
      </w:pPr>
      <w:r>
        <w:t>Rješenje o prijenosu knjigovodstvene vrijednosti nefinancijske imovine Srednja škola Valpovo (KLASA: 401-02/24-01/5, URBROJ: 2158-02-25-37), (KLASA: 401-02/24-01/5, URBROJ: 2158-02-25-84),</w:t>
      </w:r>
    </w:p>
    <w:p w:rsidR="002446FF" w:rsidRDefault="00000000">
      <w:pPr>
        <w:pStyle w:val="Odlomakpopisa"/>
        <w:numPr>
          <w:ilvl w:val="0"/>
          <w:numId w:val="1"/>
        </w:numPr>
      </w:pPr>
      <w:r>
        <w:t>Rješenje o prijenosu knjigovodstvene vrijednosti nefinancijske imovine Poljoprivrednoj i veterinarskoj školi Osijek (KLASA: 404-04/25-01/22, URBROJ: 2158-02-25-12)</w:t>
      </w:r>
    </w:p>
    <w:p w:rsidR="002446FF" w:rsidRDefault="002446FF"/>
    <w:p w:rsidR="002446FF" w:rsidRDefault="00000000">
      <w:pPr>
        <w:keepNext/>
        <w:spacing w:line="240" w:lineRule="auto"/>
        <w:jc w:val="center"/>
      </w:pPr>
      <w:r>
        <w:rPr>
          <w:sz w:val="28"/>
        </w:rPr>
        <w:t>Bilješka 78.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Potraživanja za prihode poslovanja</w:t>
            </w:r>
          </w:p>
        </w:tc>
        <w:tc>
          <w:tcPr>
            <w:tcW w:w="700" w:type="dxa"/>
            <w:tcMar>
              <w:top w:w="0" w:type="dxa"/>
              <w:bottom w:w="0" w:type="dxa"/>
            </w:tcMar>
            <w:vAlign w:val="center"/>
          </w:tcPr>
          <w:p w:rsidR="002446FF" w:rsidRDefault="00000000">
            <w:pPr>
              <w:keepNext/>
              <w:keepLines/>
              <w:spacing w:after="0" w:line="240" w:lineRule="auto"/>
            </w:pPr>
            <w:r>
              <w:rPr>
                <w:sz w:val="18"/>
              </w:rPr>
              <w:t>P029</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3.986,02</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pPr>
        <w:pStyle w:val="Odlomakpopisa"/>
        <w:numPr>
          <w:ilvl w:val="0"/>
          <w:numId w:val="1"/>
        </w:numPr>
      </w:pPr>
      <w:r>
        <w:t>Udruga "Branitelj 1991", Osijek - otpis potraživanja - skraćeni stečajni postupak (KLASA: 402-08/25-01/1, URBROJ: 2158-19/01-25-2),</w:t>
      </w:r>
    </w:p>
    <w:p w:rsidR="002446FF" w:rsidRDefault="00000000">
      <w:pPr>
        <w:pStyle w:val="Odlomakpopisa"/>
        <w:numPr>
          <w:ilvl w:val="0"/>
          <w:numId w:val="1"/>
        </w:numPr>
      </w:pPr>
      <w:r>
        <w:t>Otpis duga glavnice i kamata poreza na nasljedstva i darove radi zastare (KLASA: 410-01/25-01/2, URBROJ: 2158-10/19-25-2)</w:t>
      </w:r>
    </w:p>
    <w:p w:rsidR="002446FF" w:rsidRDefault="00000000">
      <w:pPr>
        <w:pStyle w:val="Odlomakpopisa"/>
        <w:numPr>
          <w:ilvl w:val="0"/>
          <w:numId w:val="1"/>
        </w:numPr>
      </w:pPr>
      <w:r>
        <w:t>Otpis duga glavnice i kamata poreza na nasljedstva i darove radi zastare (KLASA: 410-01/25-01/2, URBROJ: 2158-10/19-25-2)</w:t>
      </w:r>
    </w:p>
    <w:p w:rsidR="002446FF" w:rsidRDefault="00000000">
      <w:pPr>
        <w:pStyle w:val="Odlomakpopisa"/>
        <w:numPr>
          <w:ilvl w:val="0"/>
          <w:numId w:val="1"/>
        </w:numPr>
      </w:pPr>
      <w:r>
        <w:t>Sistemski otpis - porez na nasljedstva i darove (KLASA: 410-01/26-01/2, URBROJ: 2158-10/19-26-1)</w:t>
      </w:r>
    </w:p>
    <w:p w:rsidR="002446FF" w:rsidRDefault="00000000">
      <w:pPr>
        <w:pStyle w:val="Odlomakpopisa"/>
        <w:numPr>
          <w:ilvl w:val="0"/>
          <w:numId w:val="1"/>
        </w:numPr>
      </w:pPr>
      <w:r>
        <w:t>Sistemski otpis - porez na plovila (KLASA: 410-01/26-01/2, URBROJ: 2158-10/19-26-1)</w:t>
      </w:r>
      <w:r>
        <w:br/>
      </w:r>
    </w:p>
    <w:p w:rsidR="002446FF" w:rsidRDefault="002446FF"/>
    <w:p w:rsidR="002446FF" w:rsidRDefault="00000000">
      <w:pPr>
        <w:keepNext/>
        <w:spacing w:line="240" w:lineRule="auto"/>
        <w:jc w:val="center"/>
      </w:pPr>
      <w:r>
        <w:rPr>
          <w:sz w:val="28"/>
        </w:rPr>
        <w:t>Bilješka 79.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Obveze za rashode poslovanja</w:t>
            </w:r>
          </w:p>
        </w:tc>
        <w:tc>
          <w:tcPr>
            <w:tcW w:w="700" w:type="dxa"/>
            <w:tcMar>
              <w:top w:w="0" w:type="dxa"/>
              <w:bottom w:w="0" w:type="dxa"/>
            </w:tcMar>
            <w:vAlign w:val="center"/>
          </w:tcPr>
          <w:p w:rsidR="002446FF" w:rsidRDefault="00000000">
            <w:pPr>
              <w:keepNext/>
              <w:keepLines/>
              <w:spacing w:after="0" w:line="240" w:lineRule="auto"/>
            </w:pPr>
            <w:r>
              <w:rPr>
                <w:sz w:val="18"/>
              </w:rPr>
              <w:t>P035</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1860" w:type="dxa"/>
            <w:tcMar>
              <w:top w:w="0" w:type="dxa"/>
              <w:bottom w:w="0" w:type="dxa"/>
            </w:tcMar>
            <w:vAlign w:val="center"/>
          </w:tcPr>
          <w:p w:rsidR="002446FF" w:rsidRDefault="00000000">
            <w:pPr>
              <w:keepNext/>
              <w:keepLines/>
              <w:spacing w:after="0" w:line="240" w:lineRule="auto"/>
              <w:jc w:val="right"/>
            </w:pPr>
            <w:r>
              <w:rPr>
                <w:sz w:val="18"/>
              </w:rPr>
              <w:t>70,00</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Rješenje o prestanku obveze i otpisu duga Osječko-baranjske županije prema Demokratskom savezu Bošnjaka Slavonije i Baranje - DSBSB (KLASA: 401-03/25-01/1, URBROJ: 2158-02-25-2)</w:t>
      </w:r>
    </w:p>
    <w:p w:rsidR="002446FF" w:rsidRDefault="002446FF"/>
    <w:p w:rsidR="002446FF" w:rsidRDefault="00000000">
      <w:pPr>
        <w:keepNext/>
        <w:spacing w:line="240" w:lineRule="auto"/>
        <w:jc w:val="center"/>
      </w:pPr>
      <w:r>
        <w:rPr>
          <w:b/>
          <w:sz w:val="28"/>
        </w:rPr>
        <w:t>Izvještaj o obvezama</w:t>
      </w:r>
    </w:p>
    <w:p w:rsidR="002446FF" w:rsidRDefault="00000000">
      <w:pPr>
        <w:keepNext/>
        <w:spacing w:line="240" w:lineRule="auto"/>
        <w:jc w:val="center"/>
      </w:pPr>
      <w:r>
        <w:rPr>
          <w:sz w:val="28"/>
        </w:rPr>
        <w:t>Bilješka 80.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rsidR="002446FF" w:rsidRDefault="00000000">
            <w:pPr>
              <w:keepNext/>
              <w:keepLines/>
              <w:spacing w:after="0" w:line="240" w:lineRule="auto"/>
            </w:pPr>
            <w:r>
              <w:rPr>
                <w:sz w:val="18"/>
              </w:rPr>
              <w:t>V007</w:t>
            </w:r>
          </w:p>
        </w:tc>
        <w:tc>
          <w:tcPr>
            <w:tcW w:w="1860" w:type="dxa"/>
            <w:tcMar>
              <w:top w:w="0" w:type="dxa"/>
              <w:bottom w:w="0" w:type="dxa"/>
            </w:tcMar>
            <w:vAlign w:val="center"/>
          </w:tcPr>
          <w:p w:rsidR="002446FF" w:rsidRDefault="00000000">
            <w:pPr>
              <w:keepNext/>
              <w:keepLines/>
              <w:spacing w:after="0" w:line="240" w:lineRule="auto"/>
              <w:jc w:val="right"/>
            </w:pPr>
            <w:r>
              <w:rPr>
                <w:sz w:val="18"/>
              </w:rPr>
              <w:t>0,00</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Sveukupne obveze na kraju izvještajnog razdoblja iznose 15.424.994,32 eura te su sve nedospjele budući da Osječko-baranjska županija redovno podmiruje svoje obveze.</w:t>
      </w:r>
    </w:p>
    <w:p w:rsidR="002446FF" w:rsidRDefault="00000000">
      <w:r>
        <w:t xml:space="preserve">Stanje nedospjelih obveza na kraju izvještajnog razdoblja odnosi se na obveze za zaposlene (1.710.467,87 eura), obveze za materijalne rashode (592.031,99 eura), obveze za financijske rashode (10.305,36 eura), obveze za subvencije (34.568,14 eura), obveze za naknade </w:t>
      </w:r>
      <w:r>
        <w:lastRenderedPageBreak/>
        <w:t xml:space="preserve">građanima i kućanstvima (47.772,92 eura), obveze za donacije, kazne, naknade šteta i kapitalne pomoći (4.500,00 eura), ostale tekuće obveze (19.857,69 eura), obveze za nabavu nefinancijske imovine (291.017,94 eura), obveze za kredite i zajmove (7.571.853,83 eura), obveze za predujmove, depozite, </w:t>
      </w:r>
      <w:proofErr w:type="spellStart"/>
      <w:r>
        <w:t>jamčevne</w:t>
      </w:r>
      <w:proofErr w:type="spellEnd"/>
      <w:r>
        <w:t xml:space="preserve"> </w:t>
      </w:r>
      <w:proofErr w:type="spellStart"/>
      <w:r>
        <w:t>pologe</w:t>
      </w:r>
      <w:proofErr w:type="spellEnd"/>
      <w:r>
        <w:t xml:space="preserve"> i tuđe prihode (5.137.036,20 eura) i odgođeno plaćanje rashoda i prihodi budućih razdoblja (pasivna vremenska razgraničenja) (5.582,38 eura).</w:t>
      </w:r>
    </w:p>
    <w:p w:rsidR="002446FF" w:rsidRDefault="00000000">
      <w:r>
        <w:t>Za obveze proračuna za naplaćena sredstva proračunskog korisnika valja napomenuti da su u njima sadržane obveze proračuna za naplaćena sredstva proračunskih korisnika u iznosu od 5.055.230,87 eura. To se odnosi na 53 proračunska korisnika u osnovnom školstvu, 26 proračunskih korisnika u srednjem školstvu, 2 učenička doma, Muzej likovnih umjetnosti u Osijeku, JU Agencija za upravljanje zaštićenim prirodnim vrijednostima Osječko-baranjske županije, JU Zavod za prostorno uređenje Osječko-baranjske županije i JU Županijska razvojna agencija Osječko-baranjske županije. Obveza za kredite i zajmove je nedospjela te se odnosi na dugoročne kredite s iznosom glavnice  od 7.571.853,83 eura.</w:t>
      </w:r>
    </w:p>
    <w:p w:rsidR="002446FF" w:rsidRDefault="002446FF"/>
    <w:p w:rsidR="002446FF" w:rsidRDefault="00000000">
      <w:pPr>
        <w:keepNext/>
        <w:spacing w:line="240" w:lineRule="auto"/>
        <w:jc w:val="center"/>
      </w:pPr>
      <w:r>
        <w:rPr>
          <w:sz w:val="28"/>
        </w:rPr>
        <w:t>Bilješka 81.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2446FF">
        <w:tblPrEx>
          <w:tblCellMar>
            <w:top w:w="0" w:type="dxa"/>
            <w:bottom w:w="0" w:type="dxa"/>
          </w:tblCellMar>
        </w:tblPrEx>
        <w:trPr>
          <w:cantSplit/>
        </w:trPr>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rsidR="002446FF" w:rsidRDefault="00000000">
            <w:pPr>
              <w:keepNext/>
              <w:keepLines/>
              <w:spacing w:after="0" w:line="240" w:lineRule="auto"/>
              <w:jc w:val="center"/>
            </w:pPr>
            <w:r>
              <w:rPr>
                <w:b/>
                <w:sz w:val="18"/>
              </w:rPr>
              <w:t>Indeks (%)</w:t>
            </w:r>
          </w:p>
        </w:tc>
      </w:tr>
      <w:tr w:rsidR="002446FF">
        <w:tblPrEx>
          <w:tblCellMar>
            <w:top w:w="0" w:type="dxa"/>
            <w:bottom w:w="0" w:type="dxa"/>
          </w:tblCellMar>
        </w:tblPrEx>
        <w:trPr>
          <w:cantSplit/>
          <w:trHeight w:val="560"/>
        </w:trPr>
        <w:tc>
          <w:tcPr>
            <w:tcW w:w="700" w:type="dxa"/>
            <w:tcMar>
              <w:top w:w="0" w:type="dxa"/>
              <w:bottom w:w="0" w:type="dxa"/>
            </w:tcMar>
            <w:vAlign w:val="center"/>
          </w:tcPr>
          <w:p w:rsidR="002446FF" w:rsidRDefault="002446FF">
            <w:pPr>
              <w:keepNext/>
              <w:keepLines/>
              <w:spacing w:after="0" w:line="240" w:lineRule="auto"/>
            </w:pPr>
          </w:p>
        </w:tc>
        <w:tc>
          <w:tcPr>
            <w:tcW w:w="3180" w:type="dxa"/>
            <w:tcMar>
              <w:top w:w="0" w:type="dxa"/>
              <w:bottom w:w="0" w:type="dxa"/>
            </w:tcMar>
            <w:vAlign w:val="center"/>
          </w:tcPr>
          <w:p w:rsidR="002446FF" w:rsidRDefault="00000000">
            <w:pPr>
              <w:keepNext/>
              <w:keepLines/>
              <w:spacing w:after="0" w:line="240" w:lineRule="auto"/>
            </w:pPr>
            <w:r>
              <w:rPr>
                <w:sz w:val="18"/>
              </w:rPr>
              <w:t>Međusobne obveze subjekata općeg proračuna</w:t>
            </w:r>
          </w:p>
        </w:tc>
        <w:tc>
          <w:tcPr>
            <w:tcW w:w="700" w:type="dxa"/>
            <w:tcMar>
              <w:top w:w="0" w:type="dxa"/>
              <w:bottom w:w="0" w:type="dxa"/>
            </w:tcMar>
            <w:vAlign w:val="center"/>
          </w:tcPr>
          <w:p w:rsidR="002446FF" w:rsidRDefault="00000000">
            <w:pPr>
              <w:keepNext/>
              <w:keepLines/>
              <w:spacing w:after="0" w:line="240" w:lineRule="auto"/>
            </w:pPr>
            <w:r>
              <w:rPr>
                <w:sz w:val="18"/>
              </w:rPr>
              <w:t>V010</w:t>
            </w:r>
          </w:p>
        </w:tc>
        <w:tc>
          <w:tcPr>
            <w:tcW w:w="1860" w:type="dxa"/>
            <w:tcMar>
              <w:top w:w="0" w:type="dxa"/>
              <w:bottom w:w="0" w:type="dxa"/>
            </w:tcMar>
            <w:vAlign w:val="center"/>
          </w:tcPr>
          <w:p w:rsidR="002446FF" w:rsidRDefault="00000000">
            <w:pPr>
              <w:keepNext/>
              <w:keepLines/>
              <w:spacing w:after="0" w:line="240" w:lineRule="auto"/>
              <w:jc w:val="right"/>
            </w:pPr>
            <w:r>
              <w:rPr>
                <w:sz w:val="18"/>
              </w:rPr>
              <w:t>5.059.558,59</w:t>
            </w:r>
          </w:p>
        </w:tc>
        <w:tc>
          <w:tcPr>
            <w:tcW w:w="700" w:type="dxa"/>
            <w:tcMar>
              <w:top w:w="0" w:type="dxa"/>
              <w:bottom w:w="0" w:type="dxa"/>
            </w:tcMar>
            <w:vAlign w:val="center"/>
          </w:tcPr>
          <w:p w:rsidR="002446FF" w:rsidRDefault="00000000">
            <w:pPr>
              <w:keepNext/>
              <w:keepLines/>
              <w:spacing w:after="0" w:line="240" w:lineRule="auto"/>
              <w:jc w:val="right"/>
            </w:pPr>
            <w:r>
              <w:rPr>
                <w:sz w:val="18"/>
              </w:rPr>
              <w:t>-</w:t>
            </w:r>
          </w:p>
        </w:tc>
      </w:tr>
    </w:tbl>
    <w:p w:rsidR="002446FF" w:rsidRDefault="002446FF">
      <w:pPr>
        <w:spacing w:after="0"/>
      </w:pPr>
    </w:p>
    <w:p w:rsidR="002446FF" w:rsidRDefault="00000000">
      <w:r>
        <w:t>Međusobne obveze subjekata općeg proračuna najvećim dijelom odnose se na  obveze proračuna za naplaćena sredstva proračunskog korisnika u iznosu od 5.055.230,87 eura. To se odnosi na 53 proračunska korisnika u osnovnom školstvu, 26 proračunskih korisnika u srednjem školstvu, 2 učenička doma, Muzej likovnih umjetnosti u Osijeku, JU Agencija za upravljanje zaštićenim prirodnim vrijednostima Osječko-baranjske županije, JU Zavod za prostorno uređenje Osječko-baranjske županije i JU Županijska razvojna agencija Osječko-baranjske županije.</w:t>
      </w:r>
    </w:p>
    <w:p w:rsidR="002446FF" w:rsidRDefault="002446FF"/>
    <w:p w:rsidR="002446FF" w:rsidRDefault="00000000">
      <w:pPr>
        <w:keepNext/>
        <w:spacing w:line="240" w:lineRule="auto"/>
        <w:jc w:val="center"/>
      </w:pPr>
      <w:r>
        <w:rPr>
          <w:sz w:val="28"/>
        </w:rPr>
        <w:t>Bilješka 82.</w:t>
      </w:r>
    </w:p>
    <w:p w:rsidR="002446FF" w:rsidRDefault="00000000">
      <w:pPr>
        <w:spacing w:line="240" w:lineRule="auto"/>
        <w:jc w:val="both"/>
      </w:pPr>
      <w:r>
        <w:rPr>
          <w:b/>
        </w:rPr>
        <w:t>EU izvještaj</w:t>
      </w:r>
    </w:p>
    <w:p w:rsidR="002446FF" w:rsidRDefault="00000000">
      <w:r>
        <w:t>Člankom 18.a Pravilnika o financijskom izvještavanju u proračunskom računovodstvu određeno je da se u Bilješkama uz Izvještaj o EU sredstvima navode razlozi značajnijih promjena u stanju u odnosu na prethodno razdoblje odnosno razlozi zbog kojih je došlo do značajnijih promjena u ostvarenju u odnosu na prethodno razdoblje. </w:t>
      </w:r>
    </w:p>
    <w:p w:rsidR="002446FF" w:rsidRDefault="00000000">
      <w:r>
        <w:t xml:space="preserve">Okružnicom o sastavljanju, konsolidaciji i predaji financijskih izvještaja proračuna, proračunskih i izvanproračunskih korisnika državnog proračuna te proračunskih i izvanproračunskih korisnika proračuna jedinica lokalne i područne (regionalne) samouprave za razdoblje od 1. siječnja do 31. prosinca 2025. i druge aktualnosti dana je uputa da obveznici financijskog izvještavanja u EU izvještaju za izvještajno razdoblje od 1. siječnja do </w:t>
      </w:r>
      <w:r>
        <w:lastRenderedPageBreak/>
        <w:t xml:space="preserve">31. prosinca 2025. ne popunjavaju podatke koji se odnose na prethodno razdoblje za ostvarene prihode i primitke, rashode i izdatke, stanja na prvi dan izvještajnog razdoblja za potraživanja, obveza i obračunatih rashoda i obračunatih prihoda poslovanja te stanja na prvi dan izvještajnog razdoblja za stanja </w:t>
      </w:r>
      <w:proofErr w:type="spellStart"/>
      <w:r>
        <w:t>izvanbilančnih</w:t>
      </w:r>
      <w:proofErr w:type="spellEnd"/>
      <w:r>
        <w:t xml:space="preserve"> zapisa.</w:t>
      </w:r>
    </w:p>
    <w:p w:rsidR="002446FF" w:rsidRDefault="00000000">
      <w:r>
        <w:t>Temeljem prethodno navedenog, za ovo izvještajno razdoblje ne navode se razlozi odstupanja i promjena u odnosu na prethodno razdoblje. U obrascu EU izvještaj po izvorima financiranja popunjeni su podaci za nacionalno sufinanciranje, izvor 510, izvor 561, izvor 563, izvor 565 i izvor 565.</w:t>
      </w:r>
    </w:p>
    <w:p w:rsidR="002446FF" w:rsidRDefault="002446FF"/>
    <w:sectPr w:rsidR="002446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8C471D"/>
    <w:multiLevelType w:val="hybridMultilevel"/>
    <w:tmpl w:val="3230B6F0"/>
    <w:name w:val="disc"/>
    <w:lvl w:ilvl="0" w:tplc="A532E872">
      <w:start w:val="1"/>
      <w:numFmt w:val="bullet"/>
      <w:lvlText w:val="•"/>
      <w:lvlJc w:val="left"/>
      <w:pPr>
        <w:ind w:left="720" w:hanging="360"/>
      </w:pPr>
    </w:lvl>
    <w:lvl w:ilvl="1" w:tplc="E7B47B2C">
      <w:start w:val="1"/>
      <w:numFmt w:val="bullet"/>
      <w:lvlText w:val="•"/>
      <w:lvlJc w:val="left"/>
      <w:pPr>
        <w:ind w:left="1440" w:hanging="360"/>
      </w:pPr>
    </w:lvl>
    <w:lvl w:ilvl="2" w:tplc="AC1666B6">
      <w:start w:val="1"/>
      <w:numFmt w:val="bullet"/>
      <w:lvlText w:val="•"/>
      <w:lvlJc w:val="left"/>
      <w:pPr>
        <w:ind w:left="2160" w:hanging="360"/>
      </w:pPr>
    </w:lvl>
    <w:lvl w:ilvl="3" w:tplc="E418E8D6">
      <w:start w:val="1"/>
      <w:numFmt w:val="bullet"/>
      <w:lvlText w:val="•"/>
      <w:lvlJc w:val="left"/>
      <w:pPr>
        <w:ind w:left="2880" w:hanging="360"/>
      </w:pPr>
    </w:lvl>
    <w:lvl w:ilvl="4" w:tplc="FE20C54C">
      <w:start w:val="1"/>
      <w:numFmt w:val="bullet"/>
      <w:lvlText w:val="•"/>
      <w:lvlJc w:val="left"/>
      <w:pPr>
        <w:ind w:left="3600" w:hanging="360"/>
      </w:pPr>
    </w:lvl>
    <w:lvl w:ilvl="5" w:tplc="A866EFB6">
      <w:start w:val="1"/>
      <w:numFmt w:val="bullet"/>
      <w:lvlText w:val="•"/>
      <w:lvlJc w:val="left"/>
      <w:pPr>
        <w:ind w:left="4320" w:hanging="360"/>
      </w:pPr>
    </w:lvl>
    <w:lvl w:ilvl="6" w:tplc="BE4E7230">
      <w:start w:val="1"/>
      <w:numFmt w:val="bullet"/>
      <w:lvlText w:val="•"/>
      <w:lvlJc w:val="left"/>
      <w:pPr>
        <w:ind w:left="5040" w:hanging="360"/>
      </w:pPr>
    </w:lvl>
    <w:lvl w:ilvl="7" w:tplc="3F02817A">
      <w:start w:val="1"/>
      <w:numFmt w:val="bullet"/>
      <w:lvlText w:val="•"/>
      <w:lvlJc w:val="left"/>
      <w:pPr>
        <w:ind w:left="5760" w:hanging="360"/>
      </w:pPr>
    </w:lvl>
    <w:lvl w:ilvl="8" w:tplc="B8F89518">
      <w:start w:val="1"/>
      <w:numFmt w:val="bullet"/>
      <w:lvlText w:val="•"/>
      <w:lvlJc w:val="left"/>
      <w:pPr>
        <w:ind w:left="6480" w:hanging="360"/>
      </w:pPr>
    </w:lvl>
  </w:abstractNum>
  <w:num w:numId="1" w16cid:durableId="360522318">
    <w:abstractNumId w:val="0"/>
    <w:lvlOverride w:ilvl="0">
      <w:startOverride w:val="1"/>
    </w:lvlOverride>
  </w:num>
  <w:num w:numId="2" w16cid:durableId="7856577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6FF"/>
    <w:rsid w:val="002446FF"/>
    <w:rsid w:val="00896E3B"/>
    <w:rsid w:val="008B20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1C2B1-56D6-40EA-B3BC-3997B620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8302</Words>
  <Characters>47325</Characters>
  <Application>Microsoft Office Word</Application>
  <DocSecurity>0</DocSecurity>
  <Lines>394</Lines>
  <Paragraphs>111</Paragraphs>
  <ScaleCrop>false</ScaleCrop>
  <Company/>
  <LinksUpToDate>false</LinksUpToDate>
  <CharactersWithSpaces>55516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Čaloš</dc:creator>
  <cp:lastModifiedBy>Ana Čaloš</cp:lastModifiedBy>
  <cp:revision>2</cp:revision>
  <dcterms:created xsi:type="dcterms:W3CDTF">2026-02-13T12:22:00Z</dcterms:created>
  <dcterms:modified xsi:type="dcterms:W3CDTF">2026-02-13T12:22:00Z</dcterms:modified>
</cp:coreProperties>
</file>